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24"/>
          <w:szCs w:val="24"/>
        </w:rPr>
      </w:pPr>
    </w:p>
    <w:p>
      <w:pPr>
        <w:jc w:val="center"/>
        <w:rPr>
          <w:rFonts w:ascii="仿宋_GB2312" w:hAnsi="宋体" w:eastAsia="仿宋_GB2312" w:cs="宋体"/>
          <w:b/>
          <w:spacing w:val="-24"/>
          <w:w w:val="200"/>
          <w:sz w:val="72"/>
          <w:szCs w:val="72"/>
        </w:rPr>
      </w:pPr>
    </w:p>
    <w:p>
      <w:pPr>
        <w:jc w:val="center"/>
        <w:rPr>
          <w:rFonts w:ascii="仿宋_GB2312" w:hAnsi="楷体_GB2312" w:eastAsia="仿宋_GB2312"/>
          <w:b/>
          <w:bCs/>
          <w:sz w:val="54"/>
          <w:szCs w:val="54"/>
          <w:lang w:val="zh-CN"/>
        </w:rPr>
      </w:pPr>
      <w:r>
        <w:rPr>
          <w:rFonts w:hint="eastAsia" w:ascii="仿宋_GB2312" w:hAnsi="楷体_GB2312" w:eastAsia="仿宋_GB2312"/>
          <w:b/>
          <w:bCs/>
          <w:sz w:val="54"/>
          <w:szCs w:val="54"/>
          <w:lang w:val="zh-CN"/>
        </w:rPr>
        <w:t>招标文件</w:t>
      </w: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jc w:val="center"/>
        <w:rPr>
          <w:rFonts w:ascii="仿宋_GB2312" w:hAnsi="宋体" w:eastAsia="仿宋_GB2312" w:cs="宋体"/>
          <w:b/>
          <w:bCs/>
          <w:sz w:val="32"/>
          <w:szCs w:val="32"/>
        </w:rPr>
      </w:pPr>
    </w:p>
    <w:p>
      <w:pPr>
        <w:autoSpaceDE w:val="0"/>
        <w:autoSpaceDN w:val="0"/>
        <w:adjustRightInd w:val="0"/>
        <w:spacing w:line="440" w:lineRule="exact"/>
        <w:rPr>
          <w:rFonts w:ascii="仿宋_GB2312" w:hAnsi="宋体" w:eastAsia="仿宋_GB2312" w:cs="宋体"/>
          <w:b/>
          <w:bCs/>
          <w:sz w:val="32"/>
          <w:szCs w:val="32"/>
          <w:lang w:val="zh-CN"/>
        </w:rPr>
      </w:pPr>
    </w:p>
    <w:p>
      <w:pPr>
        <w:autoSpaceDE w:val="0"/>
        <w:autoSpaceDN w:val="0"/>
        <w:adjustRightInd w:val="0"/>
        <w:spacing w:line="440" w:lineRule="exact"/>
        <w:rPr>
          <w:rFonts w:ascii="仿宋_GB2312" w:hAnsi="宋体" w:eastAsia="仿宋_GB2312" w:cs="宋体"/>
          <w:b/>
          <w:bCs/>
          <w:sz w:val="32"/>
          <w:szCs w:val="32"/>
          <w:lang w:val="zh-CN"/>
        </w:rPr>
      </w:pPr>
    </w:p>
    <w:p>
      <w:pPr>
        <w:autoSpaceDE w:val="0"/>
        <w:autoSpaceDN w:val="0"/>
        <w:adjustRightInd w:val="0"/>
        <w:spacing w:line="440" w:lineRule="exact"/>
        <w:ind w:firstLine="3148" w:firstLineChars="980"/>
        <w:rPr>
          <w:rFonts w:ascii="仿宋_GB2312" w:hAnsi="宋体" w:eastAsia="仿宋_GB2312" w:cs="宋体"/>
          <w:b/>
          <w:bCs/>
          <w:sz w:val="32"/>
          <w:szCs w:val="32"/>
          <w:lang w:val="zh-CN"/>
        </w:rPr>
      </w:pPr>
    </w:p>
    <w:p>
      <w:pPr>
        <w:autoSpaceDE w:val="0"/>
        <w:autoSpaceDN w:val="0"/>
        <w:adjustRightInd w:val="0"/>
        <w:snapToGrid w:val="0"/>
        <w:spacing w:line="360" w:lineRule="auto"/>
        <w:ind w:firstLine="964" w:firstLineChars="300"/>
        <w:rPr>
          <w:rFonts w:hint="default" w:ascii="仿宋_GB2312" w:hAnsi="宋体" w:eastAsia="仿宋_GB2312" w:cs="宋体"/>
          <w:b/>
          <w:bCs/>
          <w:sz w:val="32"/>
          <w:szCs w:val="32"/>
          <w:lang w:val="en-US" w:eastAsia="zh-CN"/>
        </w:rPr>
      </w:pPr>
      <w:r>
        <w:rPr>
          <w:rFonts w:hint="eastAsia" w:ascii="仿宋_GB2312" w:hAnsi="宋体" w:eastAsia="仿宋_GB2312" w:cs="宋体"/>
          <w:b/>
          <w:bCs/>
          <w:sz w:val="32"/>
          <w:szCs w:val="32"/>
          <w:lang w:val="zh-CN"/>
        </w:rPr>
        <w:t>招标编号：FJYFCGZ20</w:t>
      </w:r>
      <w:r>
        <w:rPr>
          <w:rFonts w:hint="eastAsia" w:ascii="仿宋_GB2312" w:hAnsi="宋体" w:eastAsia="仿宋_GB2312" w:cs="宋体"/>
          <w:b/>
          <w:bCs/>
          <w:sz w:val="32"/>
          <w:szCs w:val="32"/>
          <w:lang w:val="en-US" w:eastAsia="zh-CN"/>
        </w:rPr>
        <w:t>2007</w:t>
      </w:r>
    </w:p>
    <w:p>
      <w:pPr>
        <w:autoSpaceDE w:val="0"/>
        <w:autoSpaceDN w:val="0"/>
        <w:adjustRightInd w:val="0"/>
        <w:snapToGrid w:val="0"/>
        <w:spacing w:line="360" w:lineRule="auto"/>
        <w:ind w:left="2564" w:leftChars="456" w:hanging="1606" w:hangingChars="500"/>
        <w:rPr>
          <w:rFonts w:ascii="仿宋_GB2312" w:hAnsi="宋体" w:eastAsia="仿宋_GB2312" w:cs="宋体"/>
          <w:b/>
          <w:bCs/>
          <w:sz w:val="32"/>
          <w:szCs w:val="32"/>
          <w:lang w:val="zh-CN"/>
        </w:rPr>
      </w:pPr>
      <w:r>
        <w:rPr>
          <w:rFonts w:hint="eastAsia" w:ascii="仿宋_GB2312" w:hAnsi="宋体" w:eastAsia="仿宋_GB2312" w:cs="宋体"/>
          <w:b/>
          <w:bCs/>
          <w:sz w:val="32"/>
          <w:szCs w:val="32"/>
          <w:lang w:val="zh-CN"/>
        </w:rPr>
        <w:t>项目名称：泉州市</w:t>
      </w:r>
      <w:r>
        <w:rPr>
          <w:rFonts w:hint="eastAsia" w:ascii="仿宋_GB2312" w:hAnsi="宋体" w:eastAsia="仿宋_GB2312" w:cs="宋体"/>
          <w:b/>
          <w:bCs/>
          <w:sz w:val="32"/>
          <w:szCs w:val="32"/>
          <w:lang w:val="zh-CN" w:eastAsia="zh-CN"/>
        </w:rPr>
        <w:t>应急管理</w:t>
      </w:r>
      <w:r>
        <w:rPr>
          <w:rFonts w:hint="eastAsia" w:ascii="仿宋_GB2312" w:hAnsi="宋体" w:eastAsia="仿宋_GB2312" w:cs="宋体"/>
          <w:b/>
          <w:bCs/>
          <w:sz w:val="32"/>
          <w:szCs w:val="32"/>
          <w:lang w:val="zh-CN"/>
        </w:rPr>
        <w:t>局市级</w:t>
      </w:r>
      <w:r>
        <w:rPr>
          <w:rFonts w:hint="eastAsia" w:ascii="仿宋_GB2312" w:hAnsi="宋体" w:eastAsia="仿宋_GB2312" w:cs="宋体"/>
          <w:b/>
          <w:bCs/>
          <w:sz w:val="32"/>
          <w:szCs w:val="32"/>
          <w:lang w:val="zh-CN" w:eastAsia="zh-CN"/>
        </w:rPr>
        <w:t>救灾预备金</w:t>
      </w:r>
      <w:r>
        <w:rPr>
          <w:rFonts w:hint="eastAsia" w:ascii="仿宋_GB2312" w:hAnsi="宋体" w:eastAsia="仿宋_GB2312" w:cs="宋体"/>
          <w:b/>
          <w:bCs/>
          <w:sz w:val="32"/>
          <w:szCs w:val="32"/>
          <w:lang w:val="zh-CN"/>
        </w:rPr>
        <w:t>存放银行招标项目</w:t>
      </w:r>
    </w:p>
    <w:p>
      <w:pPr>
        <w:autoSpaceDE w:val="0"/>
        <w:autoSpaceDN w:val="0"/>
        <w:adjustRightInd w:val="0"/>
        <w:snapToGrid w:val="0"/>
        <w:spacing w:line="360" w:lineRule="auto"/>
        <w:ind w:firstLine="948" w:firstLineChars="295"/>
        <w:rPr>
          <w:rFonts w:ascii="仿宋_GB2312" w:hAnsi="宋体" w:eastAsia="仿宋_GB2312" w:cs="宋体"/>
          <w:b/>
          <w:bCs/>
          <w:sz w:val="32"/>
          <w:szCs w:val="32"/>
        </w:rPr>
      </w:pPr>
      <w:r>
        <w:rPr>
          <w:rFonts w:hint="eastAsia" w:ascii="仿宋_GB2312" w:hAnsi="宋体" w:eastAsia="仿宋_GB2312" w:cs="宋体"/>
          <w:b/>
          <w:bCs/>
          <w:sz w:val="32"/>
          <w:szCs w:val="32"/>
          <w:lang w:val="zh-CN"/>
        </w:rPr>
        <w:t>招</w:t>
      </w:r>
      <w:r>
        <w:rPr>
          <w:rFonts w:hint="eastAsia" w:ascii="仿宋_GB2312" w:hAnsi="宋体" w:eastAsia="仿宋_GB2312" w:cs="宋体"/>
          <w:b/>
          <w:bCs/>
          <w:sz w:val="32"/>
          <w:szCs w:val="32"/>
        </w:rPr>
        <w:t xml:space="preserve"> </w:t>
      </w:r>
      <w:r>
        <w:rPr>
          <w:rFonts w:hint="eastAsia" w:ascii="仿宋_GB2312" w:hAnsi="宋体" w:eastAsia="仿宋_GB2312" w:cs="宋体"/>
          <w:b/>
          <w:bCs/>
          <w:sz w:val="32"/>
          <w:szCs w:val="32"/>
          <w:lang w:val="zh-CN"/>
        </w:rPr>
        <w:t>标 人：泉州市</w:t>
      </w:r>
      <w:r>
        <w:rPr>
          <w:rFonts w:hint="eastAsia" w:ascii="仿宋_GB2312" w:hAnsi="宋体" w:eastAsia="仿宋_GB2312" w:cs="宋体"/>
          <w:b/>
          <w:bCs/>
          <w:sz w:val="32"/>
          <w:szCs w:val="32"/>
          <w:lang w:val="zh-CN" w:eastAsia="zh-CN"/>
        </w:rPr>
        <w:t>应急管理</w:t>
      </w:r>
      <w:r>
        <w:rPr>
          <w:rFonts w:hint="eastAsia" w:ascii="仿宋_GB2312" w:hAnsi="宋体" w:eastAsia="仿宋_GB2312" w:cs="宋体"/>
          <w:b/>
          <w:bCs/>
          <w:sz w:val="32"/>
          <w:szCs w:val="32"/>
          <w:lang w:val="zh-CN"/>
        </w:rPr>
        <w:t>局</w:t>
      </w:r>
    </w:p>
    <w:p>
      <w:pPr>
        <w:autoSpaceDE w:val="0"/>
        <w:autoSpaceDN w:val="0"/>
        <w:adjustRightInd w:val="0"/>
        <w:snapToGrid w:val="0"/>
        <w:spacing w:line="360" w:lineRule="auto"/>
        <w:ind w:firstLine="2393" w:firstLineChars="745"/>
        <w:rPr>
          <w:rFonts w:ascii="仿宋_GB2312" w:hAnsi="宋体" w:eastAsia="仿宋_GB2312" w:cs="宋体"/>
          <w:b/>
          <w:bCs/>
          <w:sz w:val="32"/>
          <w:szCs w:val="32"/>
        </w:rPr>
      </w:pPr>
      <w:r>
        <w:rPr>
          <w:rFonts w:hint="eastAsia" w:ascii="仿宋_GB2312" w:hAnsi="宋体" w:eastAsia="仿宋_GB2312" w:cs="宋体"/>
          <w:b/>
          <w:bCs/>
          <w:sz w:val="32"/>
          <w:szCs w:val="32"/>
        </w:rPr>
        <w:tab/>
      </w:r>
    </w:p>
    <w:p>
      <w:pPr>
        <w:autoSpaceDE w:val="0"/>
        <w:autoSpaceDN w:val="0"/>
        <w:adjustRightInd w:val="0"/>
        <w:snapToGrid w:val="0"/>
        <w:spacing w:line="360" w:lineRule="auto"/>
        <w:rPr>
          <w:rFonts w:ascii="仿宋_GB2312" w:hAnsi="宋体" w:eastAsia="仿宋_GB2312" w:cs="宋体"/>
          <w:b/>
          <w:bCs/>
          <w:sz w:val="32"/>
          <w:szCs w:val="32"/>
          <w:lang w:val="zh-CN"/>
        </w:rPr>
      </w:pPr>
    </w:p>
    <w:p>
      <w:pPr>
        <w:autoSpaceDE w:val="0"/>
        <w:autoSpaceDN w:val="0"/>
        <w:adjustRightInd w:val="0"/>
        <w:snapToGrid w:val="0"/>
        <w:spacing w:line="360" w:lineRule="auto"/>
        <w:jc w:val="center"/>
        <w:rPr>
          <w:rFonts w:ascii="仿宋_GB2312" w:hAnsi="宋体" w:eastAsia="仿宋_GB2312" w:cs="宋体"/>
          <w:b/>
          <w:bCs/>
          <w:sz w:val="32"/>
          <w:szCs w:val="32"/>
          <w:lang w:val="zh-CN"/>
        </w:rPr>
      </w:pPr>
    </w:p>
    <w:p>
      <w:pPr>
        <w:autoSpaceDE w:val="0"/>
        <w:autoSpaceDN w:val="0"/>
        <w:adjustRightInd w:val="0"/>
        <w:snapToGrid w:val="0"/>
        <w:spacing w:line="360" w:lineRule="auto"/>
        <w:jc w:val="center"/>
        <w:rPr>
          <w:rFonts w:ascii="仿宋_GB2312" w:hAnsi="宋体" w:eastAsia="仿宋_GB2312" w:cs="宋体"/>
          <w:b/>
          <w:bCs/>
          <w:sz w:val="32"/>
          <w:szCs w:val="32"/>
          <w:lang w:val="zh-CN"/>
        </w:rPr>
      </w:pPr>
    </w:p>
    <w:p>
      <w:pPr>
        <w:autoSpaceDE w:val="0"/>
        <w:autoSpaceDN w:val="0"/>
        <w:adjustRightInd w:val="0"/>
        <w:snapToGrid w:val="0"/>
        <w:spacing w:line="360" w:lineRule="auto"/>
        <w:rPr>
          <w:rFonts w:ascii="仿宋_GB2312" w:hAnsi="宋体" w:eastAsia="仿宋_GB2312" w:cs="宋体"/>
          <w:b/>
          <w:bCs/>
          <w:spacing w:val="20"/>
          <w:sz w:val="32"/>
          <w:szCs w:val="32"/>
          <w:u w:val="single"/>
        </w:rPr>
      </w:pPr>
    </w:p>
    <w:p>
      <w:pPr>
        <w:autoSpaceDE w:val="0"/>
        <w:autoSpaceDN w:val="0"/>
        <w:adjustRightInd w:val="0"/>
        <w:snapToGrid w:val="0"/>
        <w:spacing w:line="360" w:lineRule="auto"/>
        <w:rPr>
          <w:rFonts w:ascii="仿宋_GB2312" w:hAnsi="宋体" w:eastAsia="仿宋_GB2312" w:cs="宋体"/>
          <w:b/>
          <w:bCs/>
          <w:spacing w:val="20"/>
          <w:szCs w:val="21"/>
          <w:u w:val="single"/>
        </w:rPr>
      </w:pPr>
    </w:p>
    <w:p>
      <w:pPr>
        <w:autoSpaceDE w:val="0"/>
        <w:autoSpaceDN w:val="0"/>
        <w:adjustRightInd w:val="0"/>
        <w:snapToGrid w:val="0"/>
        <w:spacing w:line="360" w:lineRule="auto"/>
        <w:jc w:val="center"/>
        <w:rPr>
          <w:rFonts w:ascii="仿宋_GB2312" w:hAnsi="宋体" w:eastAsia="仿宋_GB2312" w:cs="宋体"/>
          <w:b/>
          <w:bCs/>
          <w:spacing w:val="20"/>
          <w:sz w:val="32"/>
          <w:szCs w:val="32"/>
          <w:lang w:val="zh-CN"/>
        </w:rPr>
      </w:pPr>
      <w:r>
        <w:rPr>
          <w:rFonts w:hint="eastAsia" w:ascii="仿宋_GB2312" w:hAnsi="宋体" w:eastAsia="仿宋_GB2312" w:cs="宋体"/>
          <w:b/>
          <w:bCs/>
          <w:spacing w:val="20"/>
          <w:sz w:val="32"/>
          <w:szCs w:val="32"/>
          <w:lang w:val="zh-CN"/>
        </w:rPr>
        <w:t>福建元丰招标有限公司</w:t>
      </w:r>
    </w:p>
    <w:p>
      <w:pPr>
        <w:autoSpaceDE w:val="0"/>
        <w:autoSpaceDN w:val="0"/>
        <w:adjustRightInd w:val="0"/>
        <w:snapToGrid w:val="0"/>
        <w:spacing w:line="360" w:lineRule="auto"/>
        <w:jc w:val="center"/>
        <w:rPr>
          <w:rFonts w:ascii="仿宋_GB2312" w:hAnsi="宋体" w:eastAsia="仿宋_GB2312" w:cs="宋体"/>
          <w:b/>
          <w:bCs/>
          <w:sz w:val="32"/>
          <w:szCs w:val="32"/>
          <w:lang w:val="zh-CN"/>
        </w:rPr>
      </w:pPr>
      <w:r>
        <w:rPr>
          <w:rFonts w:hint="eastAsia" w:ascii="仿宋_GB2312" w:hAnsi="宋体" w:eastAsia="仿宋_GB2312" w:cs="宋体"/>
          <w:b/>
          <w:bCs/>
          <w:sz w:val="32"/>
          <w:szCs w:val="32"/>
          <w:lang w:val="zh-CN"/>
        </w:rPr>
        <w:t>二0二</w:t>
      </w:r>
      <w:r>
        <w:rPr>
          <w:rFonts w:hint="eastAsia" w:ascii="仿宋_GB2312" w:hAnsi="宋体" w:eastAsia="仿宋_GB2312" w:cs="宋体"/>
          <w:b/>
          <w:bCs/>
          <w:sz w:val="32"/>
          <w:szCs w:val="32"/>
          <w:lang w:val="en-US" w:eastAsia="zh-CN"/>
        </w:rPr>
        <w:t>0</w:t>
      </w:r>
      <w:r>
        <w:rPr>
          <w:rFonts w:hint="eastAsia" w:ascii="仿宋_GB2312" w:hAnsi="宋体" w:eastAsia="仿宋_GB2312" w:cs="宋体"/>
          <w:b/>
          <w:bCs/>
          <w:sz w:val="32"/>
          <w:szCs w:val="32"/>
          <w:lang w:val="zh-CN"/>
        </w:rPr>
        <w:t>年</w:t>
      </w:r>
      <w:r>
        <w:rPr>
          <w:rFonts w:hint="eastAsia" w:ascii="仿宋_GB2312" w:hAnsi="宋体" w:eastAsia="仿宋_GB2312" w:cs="宋体"/>
          <w:b/>
          <w:bCs/>
          <w:sz w:val="32"/>
          <w:szCs w:val="32"/>
          <w:lang w:val="en-US" w:eastAsia="zh-CN"/>
        </w:rPr>
        <w:t>五</w:t>
      </w:r>
      <w:r>
        <w:rPr>
          <w:rFonts w:hint="eastAsia" w:ascii="仿宋_GB2312" w:hAnsi="宋体" w:eastAsia="仿宋_GB2312" w:cs="宋体"/>
          <w:b/>
          <w:bCs/>
          <w:sz w:val="32"/>
          <w:szCs w:val="32"/>
          <w:lang w:val="zh-CN"/>
        </w:rPr>
        <w:t>月</w:t>
      </w:r>
    </w:p>
    <w:p>
      <w:pPr>
        <w:autoSpaceDE w:val="0"/>
        <w:autoSpaceDN w:val="0"/>
        <w:adjustRightInd w:val="0"/>
        <w:spacing w:line="400" w:lineRule="exact"/>
        <w:jc w:val="center"/>
        <w:rPr>
          <w:rFonts w:ascii="仿宋_GB2312" w:hAnsi="宋体" w:eastAsia="仿宋_GB2312" w:cs="宋体"/>
          <w:bCs/>
          <w:sz w:val="24"/>
          <w:szCs w:val="24"/>
          <w:lang w:val="zh-CN"/>
        </w:rPr>
      </w:pPr>
    </w:p>
    <w:p>
      <w:pPr>
        <w:pStyle w:val="16"/>
        <w:jc w:val="center"/>
        <w:rPr>
          <w:rFonts w:ascii="仿宋_GB2312" w:hAnsi="宋体" w:eastAsia="仿宋_GB2312"/>
          <w:b/>
          <w:bCs/>
          <w:sz w:val="32"/>
          <w:szCs w:val="32"/>
        </w:rPr>
      </w:pPr>
    </w:p>
    <w:p>
      <w:pPr>
        <w:pStyle w:val="16"/>
        <w:jc w:val="center"/>
        <w:rPr>
          <w:rFonts w:ascii="仿宋_GB2312" w:hAnsi="宋体" w:eastAsia="仿宋_GB2312"/>
          <w:b/>
          <w:bCs/>
          <w:sz w:val="32"/>
          <w:szCs w:val="32"/>
        </w:rPr>
        <w:sectPr>
          <w:headerReference r:id="rId3" w:type="default"/>
          <w:footerReference r:id="rId4" w:type="default"/>
          <w:pgSz w:w="11907" w:h="16840"/>
          <w:pgMar w:top="1440" w:right="1107" w:bottom="1440" w:left="1260" w:header="851" w:footer="992" w:gutter="0"/>
          <w:cols w:space="720" w:num="1"/>
          <w:docGrid w:linePitch="323" w:charSpace="-2"/>
        </w:sectPr>
      </w:pPr>
    </w:p>
    <w:p>
      <w:pPr>
        <w:pStyle w:val="16"/>
        <w:jc w:val="center"/>
        <w:rPr>
          <w:rFonts w:ascii="仿宋_GB2312" w:hAnsi="宋体" w:eastAsia="仿宋_GB2312"/>
          <w:b/>
          <w:bCs/>
          <w:sz w:val="32"/>
          <w:szCs w:val="32"/>
        </w:rPr>
      </w:pPr>
      <w:r>
        <w:rPr>
          <w:rFonts w:hint="eastAsia" w:ascii="仿宋_GB2312" w:hAnsi="宋体" w:eastAsia="仿宋_GB2312"/>
          <w:b/>
          <w:bCs/>
          <w:sz w:val="32"/>
          <w:szCs w:val="32"/>
        </w:rPr>
        <w:t>目   录</w:t>
      </w:r>
    </w:p>
    <w:p>
      <w:pPr>
        <w:pStyle w:val="16"/>
        <w:jc w:val="center"/>
        <w:outlineLvl w:val="0"/>
        <w:rPr>
          <w:rFonts w:ascii="仿宋_GB2312" w:hAnsi="仿宋_GB2312" w:eastAsia="仿宋_GB2312" w:cs="仿宋_GB2312"/>
          <w:bCs/>
          <w:sz w:val="24"/>
          <w:szCs w:val="24"/>
        </w:rPr>
      </w:pPr>
    </w:p>
    <w:p>
      <w:pPr>
        <w:pStyle w:val="21"/>
        <w:tabs>
          <w:tab w:val="right" w:leader="dot" w:pos="9486"/>
        </w:tabs>
        <w:rPr>
          <w:rFonts w:ascii="仿宋_GB2312" w:eastAsia="仿宋_GB2312"/>
          <w:b/>
          <w:szCs w:val="21"/>
        </w:rPr>
      </w:pPr>
      <w:r>
        <w:rPr>
          <w:rFonts w:hint="eastAsia" w:ascii="仿宋_GB2312" w:hAnsi="仿宋_GB2312" w:eastAsia="仿宋_GB2312" w:cs="仿宋_GB2312"/>
          <w:bCs/>
          <w:sz w:val="24"/>
          <w:szCs w:val="24"/>
        </w:rPr>
        <w:fldChar w:fldCharType="begin"/>
      </w:r>
      <w:r>
        <w:rPr>
          <w:rFonts w:hint="eastAsia" w:ascii="仿宋_GB2312" w:hAnsi="仿宋_GB2312" w:eastAsia="仿宋_GB2312" w:cs="仿宋_GB2312"/>
          <w:bCs/>
          <w:sz w:val="24"/>
          <w:szCs w:val="24"/>
        </w:rPr>
        <w:instrText xml:space="preserve"> TOC \o "1-3" \h \z \u </w:instrText>
      </w:r>
      <w:r>
        <w:rPr>
          <w:rFonts w:hint="eastAsia" w:ascii="仿宋_GB2312" w:hAnsi="仿宋_GB2312" w:eastAsia="仿宋_GB2312" w:cs="仿宋_GB2312"/>
          <w:bCs/>
          <w:sz w:val="24"/>
          <w:szCs w:val="24"/>
        </w:rPr>
        <w:fldChar w:fldCharType="separate"/>
      </w:r>
      <w:r>
        <w:fldChar w:fldCharType="begin"/>
      </w:r>
      <w:r>
        <w:instrText xml:space="preserve"> HYPERLINK \l "_Toc421861314" </w:instrText>
      </w:r>
      <w:r>
        <w:fldChar w:fldCharType="separate"/>
      </w:r>
      <w:r>
        <w:rPr>
          <w:rStyle w:val="33"/>
          <w:rFonts w:hint="eastAsia" w:ascii="仿宋_GB2312" w:hAnsi="宋体" w:eastAsia="仿宋_GB2312" w:cs="宋体"/>
          <w:b/>
          <w:color w:val="auto"/>
          <w:szCs w:val="21"/>
        </w:rPr>
        <w:t>第一部分  投标邀请</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_Toc421861314 \h </w:instrText>
      </w:r>
      <w:r>
        <w:rPr>
          <w:rFonts w:hint="eastAsia" w:ascii="仿宋_GB2312" w:eastAsia="仿宋_GB2312"/>
          <w:b/>
          <w:szCs w:val="21"/>
        </w:rPr>
        <w:fldChar w:fldCharType="separate"/>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"_Toc421861315" </w:instrText>
      </w:r>
      <w:r>
        <w:fldChar w:fldCharType="separate"/>
      </w:r>
      <w:r>
        <w:rPr>
          <w:rStyle w:val="33"/>
          <w:rFonts w:hint="eastAsia" w:ascii="仿宋_GB2312" w:hAnsi="宋体" w:eastAsia="仿宋_GB2312" w:cs="宋体"/>
          <w:b/>
          <w:color w:val="auto"/>
          <w:szCs w:val="21"/>
        </w:rPr>
        <w:t>一、投标邀请函</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_Toc421861315 \h </w:instrText>
      </w:r>
      <w:r>
        <w:rPr>
          <w:rFonts w:hint="eastAsia" w:ascii="仿宋_GB2312" w:eastAsia="仿宋_GB2312"/>
          <w:b/>
          <w:szCs w:val="21"/>
        </w:rPr>
        <w:fldChar w:fldCharType="separate"/>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"_Toc421861316" </w:instrText>
      </w:r>
      <w:r>
        <w:fldChar w:fldCharType="separate"/>
      </w:r>
      <w:r>
        <w:rPr>
          <w:rStyle w:val="33"/>
          <w:rFonts w:hint="eastAsia" w:ascii="仿宋_GB2312" w:hAnsi="宋体" w:eastAsia="仿宋_GB2312" w:cs="宋体"/>
          <w:b/>
          <w:color w:val="auto"/>
          <w:szCs w:val="21"/>
        </w:rPr>
        <w:t>二、招标服务一览表</w:t>
      </w:r>
      <w:r>
        <w:rPr>
          <w:rFonts w:hint="eastAsia" w:ascii="仿宋_GB2312" w:eastAsia="仿宋_GB2312"/>
          <w:b/>
          <w:szCs w:val="21"/>
        </w:rPr>
        <w:tab/>
      </w:r>
      <w:r>
        <w:rPr>
          <w:rFonts w:hint="eastAsia" w:ascii="仿宋_GB2312" w:eastAsia="仿宋_GB2312"/>
          <w:b/>
          <w:szCs w:val="21"/>
        </w:rPr>
        <w:fldChar w:fldCharType="begin"/>
      </w:r>
      <w:r>
        <w:rPr>
          <w:rFonts w:hint="eastAsia" w:ascii="仿宋_GB2312" w:eastAsia="仿宋_GB2312"/>
          <w:b/>
          <w:szCs w:val="21"/>
        </w:rPr>
        <w:instrText xml:space="preserve"> PAGEREF _Toc421861316 \h </w:instrText>
      </w:r>
      <w:r>
        <w:rPr>
          <w:rFonts w:hint="eastAsia" w:ascii="仿宋_GB2312" w:eastAsia="仿宋_GB2312"/>
          <w:b/>
          <w:szCs w:val="21"/>
        </w:rPr>
        <w:fldChar w:fldCharType="separate"/>
      </w:r>
      <w:r>
        <w:rPr>
          <w:rFonts w:hint="eastAsia" w:ascii="仿宋_GB2312" w:eastAsia="仿宋_GB2312"/>
          <w:b/>
          <w:szCs w:val="21"/>
        </w:rPr>
        <w:t>3</w:t>
      </w:r>
      <w:r>
        <w:rPr>
          <w:rFonts w:hint="eastAsia" w:ascii="仿宋_GB2312" w:eastAsia="仿宋_GB2312"/>
          <w:b/>
          <w:szCs w:val="21"/>
        </w:rPr>
        <w:fldChar w:fldCharType="end"/>
      </w:r>
      <w:r>
        <w:rPr>
          <w:rFonts w:hint="eastAsia" w:ascii="仿宋_GB2312" w:eastAsia="仿宋_GB2312"/>
          <w:b/>
          <w:szCs w:val="21"/>
        </w:rPr>
        <w:fldChar w:fldCharType="end"/>
      </w:r>
    </w:p>
    <w:p>
      <w:pPr>
        <w:pStyle w:val="21"/>
        <w:tabs>
          <w:tab w:val="right" w:leader="dot" w:pos="9486"/>
        </w:tabs>
        <w:rPr>
          <w:rFonts w:ascii="仿宋_GB2312" w:eastAsia="仿宋_GB2312"/>
          <w:b/>
          <w:szCs w:val="21"/>
        </w:rPr>
      </w:pPr>
      <w:r>
        <w:fldChar w:fldCharType="begin"/>
      </w:r>
      <w:r>
        <w:instrText xml:space="preserve"> HYPERLINK \l "_Toc421861317" </w:instrText>
      </w:r>
      <w:r>
        <w:fldChar w:fldCharType="separate"/>
      </w:r>
      <w:r>
        <w:rPr>
          <w:rStyle w:val="33"/>
          <w:rFonts w:hint="eastAsia" w:ascii="仿宋_GB2312" w:hAnsi="宋体" w:eastAsia="仿宋_GB2312" w:cs="宋体"/>
          <w:b/>
          <w:color w:val="auto"/>
          <w:szCs w:val="21"/>
        </w:rPr>
        <w:t>第二部分  招标内容及要求</w:t>
      </w:r>
      <w:r>
        <w:rPr>
          <w:rFonts w:hint="eastAsia" w:ascii="仿宋_GB2312" w:eastAsia="仿宋_GB2312"/>
          <w:b/>
          <w:szCs w:val="21"/>
        </w:rPr>
        <w:tab/>
      </w:r>
      <w:r>
        <w:rPr>
          <w:rFonts w:hint="eastAsia" w:ascii="仿宋_GB2312" w:eastAsia="仿宋_GB2312"/>
          <w:b/>
          <w:szCs w:val="21"/>
        </w:rPr>
        <w:t>4</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"_Toc421861318" </w:instrText>
      </w:r>
      <w:r>
        <w:fldChar w:fldCharType="separate"/>
      </w:r>
      <w:r>
        <w:rPr>
          <w:rStyle w:val="33"/>
          <w:rFonts w:hint="eastAsia" w:ascii="仿宋_GB2312" w:hAnsi="宋体" w:eastAsia="仿宋_GB2312" w:cs="宋体"/>
          <w:b/>
          <w:color w:val="auto"/>
          <w:szCs w:val="21"/>
        </w:rPr>
        <w:t>第一节 招标内容及要求</w:t>
      </w:r>
      <w:r>
        <w:rPr>
          <w:rFonts w:hint="eastAsia" w:ascii="仿宋_GB2312" w:eastAsia="仿宋_GB2312"/>
          <w:b/>
          <w:szCs w:val="21"/>
        </w:rPr>
        <w:tab/>
      </w:r>
      <w:r>
        <w:rPr>
          <w:rFonts w:hint="eastAsia" w:ascii="仿宋_GB2312" w:eastAsia="仿宋_GB2312"/>
          <w:b/>
          <w:szCs w:val="21"/>
        </w:rPr>
        <w:t>5</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"_Toc421861321" </w:instrText>
      </w:r>
      <w:r>
        <w:fldChar w:fldCharType="separate"/>
      </w:r>
      <w:r>
        <w:rPr>
          <w:rStyle w:val="33"/>
          <w:rFonts w:hint="eastAsia" w:ascii="仿宋_GB2312" w:hAnsi="宋体" w:eastAsia="仿宋_GB2312"/>
          <w:b/>
          <w:color w:val="auto"/>
          <w:szCs w:val="21"/>
        </w:rPr>
        <w:t>第二节 商务要求</w:t>
      </w:r>
      <w:r>
        <w:rPr>
          <w:rFonts w:hint="eastAsia" w:ascii="仿宋_GB2312" w:eastAsia="仿宋_GB2312"/>
          <w:b/>
          <w:szCs w:val="21"/>
        </w:rPr>
        <w:tab/>
      </w:r>
      <w:r>
        <w:rPr>
          <w:rFonts w:hint="eastAsia" w:ascii="仿宋_GB2312" w:eastAsia="仿宋_GB2312"/>
          <w:b/>
          <w:szCs w:val="21"/>
        </w:rPr>
        <w:t>6</w:t>
      </w:r>
      <w:r>
        <w:rPr>
          <w:rFonts w:hint="eastAsia" w:ascii="仿宋_GB2312" w:eastAsia="仿宋_GB2312"/>
          <w:b/>
          <w:szCs w:val="21"/>
        </w:rPr>
        <w:fldChar w:fldCharType="end"/>
      </w:r>
    </w:p>
    <w:p>
      <w:pPr>
        <w:pStyle w:val="21"/>
        <w:tabs>
          <w:tab w:val="right" w:leader="dot" w:pos="9486"/>
        </w:tabs>
        <w:rPr>
          <w:rFonts w:ascii="仿宋_GB2312" w:eastAsia="仿宋_GB2312"/>
          <w:b/>
          <w:szCs w:val="21"/>
        </w:rPr>
      </w:pPr>
      <w:r>
        <w:fldChar w:fldCharType="begin"/>
      </w:r>
      <w:r>
        <w:instrText xml:space="preserve"> HYPERLINK \l "_Toc421861322" </w:instrText>
      </w:r>
      <w:r>
        <w:fldChar w:fldCharType="separate"/>
      </w:r>
      <w:r>
        <w:rPr>
          <w:rStyle w:val="33"/>
          <w:rFonts w:hint="eastAsia" w:ascii="仿宋_GB2312" w:hAnsi="宋体" w:eastAsia="仿宋_GB2312" w:cs="宋体"/>
          <w:b/>
          <w:color w:val="auto"/>
          <w:szCs w:val="21"/>
        </w:rPr>
        <w:t>第三部分  投标人须知</w:t>
      </w:r>
      <w:r>
        <w:rPr>
          <w:rFonts w:hint="eastAsia" w:ascii="仿宋_GB2312" w:eastAsia="仿宋_GB2312"/>
          <w:b/>
          <w:szCs w:val="21"/>
        </w:rPr>
        <w:tab/>
      </w:r>
      <w:r>
        <w:rPr>
          <w:rFonts w:hint="eastAsia" w:ascii="仿宋_GB2312" w:eastAsia="仿宋_GB2312"/>
          <w:b/>
          <w:szCs w:val="21"/>
          <w:lang w:val="en-US" w:eastAsia="zh-CN"/>
        </w:rPr>
        <w:t>7</w:t>
      </w:r>
      <w:r>
        <w:rPr>
          <w:rFonts w:hint="eastAsia" w:ascii="仿宋_GB2312" w:eastAsia="仿宋_GB2312"/>
          <w:b/>
          <w:szCs w:val="21"/>
        </w:rPr>
        <w:fldChar w:fldCharType="end"/>
      </w:r>
    </w:p>
    <w:p>
      <w:pPr>
        <w:pStyle w:val="23"/>
        <w:tabs>
          <w:tab w:val="right" w:leader="dot" w:pos="9486"/>
        </w:tabs>
        <w:rPr>
          <w:rFonts w:ascii="仿宋_GB2312" w:eastAsia="仿宋_GB2312"/>
          <w:b/>
          <w:szCs w:val="21"/>
        </w:rPr>
      </w:pPr>
      <w:r>
        <w:fldChar w:fldCharType="begin"/>
      </w:r>
      <w:r>
        <w:instrText xml:space="preserve"> HYPERLINK \l "_Toc421861323" </w:instrText>
      </w:r>
      <w:r>
        <w:fldChar w:fldCharType="separate"/>
      </w:r>
      <w:r>
        <w:rPr>
          <w:rStyle w:val="33"/>
          <w:rFonts w:hint="eastAsia" w:ascii="仿宋_GB2312" w:hAnsi="宋体" w:eastAsia="仿宋_GB2312" w:cs="宋体"/>
          <w:b/>
          <w:color w:val="auto"/>
          <w:w w:val="90"/>
          <w:szCs w:val="21"/>
        </w:rPr>
        <w:t>投标人须知前附表</w:t>
      </w:r>
      <w:r>
        <w:rPr>
          <w:rFonts w:hint="eastAsia" w:ascii="仿宋_GB2312" w:eastAsia="仿宋_GB2312"/>
          <w:b/>
          <w:szCs w:val="21"/>
        </w:rPr>
        <w:tab/>
      </w:r>
      <w:r>
        <w:rPr>
          <w:rFonts w:hint="eastAsia" w:ascii="仿宋_GB2312" w:eastAsia="仿宋_GB2312"/>
          <w:b/>
          <w:szCs w:val="21"/>
          <w:lang w:val="en-US" w:eastAsia="zh-CN"/>
        </w:rPr>
        <w:t>8</w:t>
      </w:r>
      <w:r>
        <w:rPr>
          <w:rFonts w:hint="eastAsia" w:ascii="仿宋_GB2312" w:eastAsia="仿宋_GB2312"/>
          <w:b/>
          <w:szCs w:val="21"/>
        </w:rPr>
        <w:fldChar w:fldCharType="end"/>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"_Toc421861324" </w:instrText>
      </w:r>
      <w:r>
        <w:fldChar w:fldCharType="separate"/>
      </w:r>
      <w:r>
        <w:rPr>
          <w:rStyle w:val="33"/>
          <w:rFonts w:hint="eastAsia" w:ascii="仿宋_GB2312" w:hAnsi="宋体" w:eastAsia="仿宋_GB2312" w:cs="宋体"/>
          <w:b/>
          <w:color w:val="auto"/>
          <w:szCs w:val="21"/>
        </w:rPr>
        <w:t>一、说明</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0</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"_Toc421861335" </w:instrText>
      </w:r>
      <w:r>
        <w:fldChar w:fldCharType="separate"/>
      </w:r>
      <w:r>
        <w:rPr>
          <w:rStyle w:val="33"/>
          <w:rFonts w:hint="eastAsia" w:ascii="仿宋_GB2312" w:hAnsi="宋体" w:eastAsia="仿宋_GB2312" w:cs="宋体"/>
          <w:b/>
          <w:color w:val="auto"/>
          <w:szCs w:val="21"/>
        </w:rPr>
        <w:t>二、招标文件</w:t>
      </w:r>
      <w:r>
        <w:rPr>
          <w:rFonts w:hint="eastAsia" w:ascii="仿宋_GB2312" w:eastAsia="仿宋_GB2312"/>
          <w:b/>
          <w:szCs w:val="21"/>
        </w:rPr>
        <w:tab/>
      </w:r>
      <w:r>
        <w:rPr>
          <w:rFonts w:hint="eastAsia" w:ascii="仿宋_GB2312" w:eastAsia="仿宋_GB2312"/>
          <w:b/>
          <w:szCs w:val="21"/>
        </w:rPr>
        <w:fldChar w:fldCharType="end"/>
      </w:r>
      <w:r>
        <w:rPr>
          <w:rFonts w:hint="eastAsia" w:ascii="仿宋_GB2312" w:eastAsia="仿宋_GB2312"/>
          <w:b/>
          <w:szCs w:val="21"/>
        </w:rPr>
        <w:t>1</w:t>
      </w:r>
      <w:r>
        <w:rPr>
          <w:rFonts w:hint="eastAsia" w:ascii="仿宋_GB2312" w:eastAsia="仿宋_GB2312"/>
          <w:b/>
          <w:szCs w:val="21"/>
          <w:lang w:val="en-US" w:eastAsia="zh-CN"/>
        </w:rPr>
        <w:t>2</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"_Toc421861336" </w:instrText>
      </w:r>
      <w:r>
        <w:fldChar w:fldCharType="separate"/>
      </w:r>
      <w:r>
        <w:rPr>
          <w:rStyle w:val="33"/>
          <w:rFonts w:hint="eastAsia" w:ascii="仿宋_GB2312" w:hAnsi="宋体" w:eastAsia="仿宋_GB2312" w:cs="宋体"/>
          <w:b/>
          <w:color w:val="auto"/>
          <w:szCs w:val="21"/>
        </w:rPr>
        <w:t>三、投文件的编写</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3</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"_Toc421861340" </w:instrText>
      </w:r>
      <w:r>
        <w:fldChar w:fldCharType="separate"/>
      </w:r>
      <w:r>
        <w:rPr>
          <w:rStyle w:val="33"/>
          <w:rFonts w:hint="eastAsia" w:ascii="仿宋_GB2312" w:hAnsi="宋体" w:eastAsia="仿宋_GB2312" w:cs="宋体"/>
          <w:b/>
          <w:color w:val="auto"/>
          <w:szCs w:val="21"/>
        </w:rPr>
        <w:t>四、投标文件的递交</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5</w:t>
      </w:r>
    </w:p>
    <w:p>
      <w:pPr>
        <w:pStyle w:val="23"/>
        <w:tabs>
          <w:tab w:val="right" w:leader="dot" w:pos="9486"/>
        </w:tabs>
        <w:rPr>
          <w:rFonts w:hint="eastAsia" w:ascii="仿宋_GB2312" w:eastAsia="仿宋_GB2312"/>
          <w:b/>
          <w:szCs w:val="21"/>
          <w:lang w:val="en-US" w:eastAsia="zh-CN"/>
        </w:rPr>
      </w:pPr>
      <w:r>
        <w:fldChar w:fldCharType="begin"/>
      </w:r>
      <w:r>
        <w:instrText xml:space="preserve"> HYPERLINK \l "_Toc421861341" </w:instrText>
      </w:r>
      <w:r>
        <w:fldChar w:fldCharType="separate"/>
      </w:r>
      <w:r>
        <w:rPr>
          <w:rStyle w:val="33"/>
          <w:rFonts w:hint="eastAsia" w:ascii="仿宋_GB2312" w:hAnsi="宋体" w:eastAsia="仿宋_GB2312" w:cs="宋体"/>
          <w:b/>
          <w:color w:val="auto"/>
          <w:szCs w:val="21"/>
        </w:rPr>
        <w:t>五、投标文件的评估和比较</w:t>
      </w:r>
      <w:r>
        <w:rPr>
          <w:rFonts w:hint="eastAsia" w:ascii="仿宋_GB2312" w:eastAsia="仿宋_GB2312"/>
          <w:b/>
          <w:szCs w:val="21"/>
        </w:rPr>
        <w:tab/>
      </w:r>
      <w:r>
        <w:rPr>
          <w:rFonts w:hint="eastAsia" w:ascii="仿宋_GB2312" w:eastAsia="仿宋_GB2312"/>
          <w:b/>
          <w:szCs w:val="21"/>
        </w:rPr>
        <w:t>1</w:t>
      </w:r>
      <w:r>
        <w:rPr>
          <w:rFonts w:hint="eastAsia" w:ascii="仿宋_GB2312" w:eastAsia="仿宋_GB2312"/>
          <w:b/>
          <w:szCs w:val="21"/>
        </w:rPr>
        <w:fldChar w:fldCharType="end"/>
      </w:r>
      <w:r>
        <w:rPr>
          <w:rFonts w:hint="eastAsia" w:ascii="仿宋_GB2312" w:eastAsia="仿宋_GB2312"/>
          <w:b/>
          <w:szCs w:val="21"/>
          <w:lang w:val="en-US" w:eastAsia="zh-CN"/>
        </w:rPr>
        <w:t>6</w:t>
      </w:r>
    </w:p>
    <w:p>
      <w:pPr>
        <w:pStyle w:val="23"/>
        <w:tabs>
          <w:tab w:val="right" w:leader="dot" w:pos="9486"/>
        </w:tabs>
        <w:rPr>
          <w:rFonts w:hint="eastAsia" w:ascii="仿宋_GB2312" w:eastAsia="仿宋_GB2312"/>
          <w:b/>
          <w:szCs w:val="21"/>
          <w:lang w:eastAsia="zh-CN"/>
        </w:rPr>
      </w:pPr>
      <w:r>
        <w:fldChar w:fldCharType="begin"/>
      </w:r>
      <w:r>
        <w:instrText xml:space="preserve"> HYPERLINK \l "_Toc421861342" </w:instrText>
      </w:r>
      <w:r>
        <w:fldChar w:fldCharType="separate"/>
      </w:r>
      <w:r>
        <w:rPr>
          <w:rStyle w:val="33"/>
          <w:rFonts w:hint="eastAsia" w:ascii="仿宋_GB2312" w:hAnsi="宋体" w:eastAsia="仿宋_GB2312" w:cs="宋体"/>
          <w:b/>
          <w:color w:val="auto"/>
          <w:szCs w:val="21"/>
        </w:rPr>
        <w:t>六、</w:t>
      </w:r>
      <w:r>
        <w:rPr>
          <w:rStyle w:val="33"/>
          <w:rFonts w:hint="eastAsia" w:ascii="仿宋_GB2312" w:hAnsi="宋体" w:eastAsia="仿宋_GB2312" w:cs="宋体"/>
          <w:b/>
          <w:color w:val="auto"/>
          <w:szCs w:val="21"/>
          <w:lang w:eastAsia="zh-CN"/>
        </w:rPr>
        <w:t>定</w:t>
      </w:r>
      <w:r>
        <w:rPr>
          <w:rStyle w:val="33"/>
          <w:rFonts w:hint="eastAsia" w:ascii="仿宋_GB2312" w:hAnsi="宋体" w:eastAsia="仿宋_GB2312" w:cs="宋体"/>
          <w:b/>
          <w:color w:val="auto"/>
          <w:szCs w:val="21"/>
        </w:rPr>
        <w:t>标与签订合同</w:t>
      </w:r>
      <w:r>
        <w:rPr>
          <w:rFonts w:hint="eastAsia" w:ascii="仿宋_GB2312" w:eastAsia="仿宋_GB2312"/>
          <w:b/>
          <w:szCs w:val="21"/>
        </w:rPr>
        <w:tab/>
      </w:r>
      <w:r>
        <w:rPr>
          <w:rFonts w:hint="eastAsia" w:ascii="仿宋_GB2312" w:eastAsia="仿宋_GB2312"/>
          <w:b/>
          <w:szCs w:val="21"/>
        </w:rPr>
        <w:t>2</w:t>
      </w:r>
      <w:r>
        <w:rPr>
          <w:rFonts w:hint="eastAsia" w:ascii="仿宋_GB2312" w:eastAsia="仿宋_GB2312"/>
          <w:b/>
          <w:szCs w:val="21"/>
        </w:rPr>
        <w:fldChar w:fldCharType="end"/>
      </w:r>
      <w:r>
        <w:rPr>
          <w:rFonts w:hint="eastAsia" w:ascii="仿宋_GB2312" w:eastAsia="仿宋_GB2312"/>
          <w:b/>
          <w:szCs w:val="21"/>
          <w:lang w:val="en-US" w:eastAsia="zh-CN"/>
        </w:rPr>
        <w:t>2</w:t>
      </w:r>
    </w:p>
    <w:p>
      <w:pPr>
        <w:pStyle w:val="21"/>
        <w:tabs>
          <w:tab w:val="right" w:leader="dot" w:pos="9486"/>
        </w:tabs>
        <w:rPr>
          <w:rFonts w:hint="eastAsia" w:ascii="仿宋_GB2312" w:eastAsia="仿宋_GB2312"/>
          <w:b/>
          <w:szCs w:val="21"/>
          <w:lang w:val="en-US" w:eastAsia="zh-CN"/>
        </w:rPr>
      </w:pPr>
      <w:r>
        <w:fldChar w:fldCharType="begin"/>
      </w:r>
      <w:r>
        <w:instrText xml:space="preserve"> HYPERLINK \l "_Toc421861343" </w:instrText>
      </w:r>
      <w:r>
        <w:fldChar w:fldCharType="separate"/>
      </w:r>
      <w:r>
        <w:rPr>
          <w:rStyle w:val="33"/>
          <w:rFonts w:hint="eastAsia" w:ascii="仿宋_GB2312" w:hAnsi="宋体" w:eastAsia="仿宋_GB2312" w:cs="宋体"/>
          <w:b/>
          <w:color w:val="auto"/>
          <w:szCs w:val="21"/>
        </w:rPr>
        <w:t>第四部分  合同主要条款（参考文本）</w:t>
      </w:r>
      <w:r>
        <w:rPr>
          <w:rFonts w:hint="eastAsia" w:ascii="仿宋_GB2312" w:eastAsia="仿宋_GB2312"/>
          <w:b/>
          <w:szCs w:val="21"/>
        </w:rPr>
        <w:tab/>
      </w:r>
      <w:r>
        <w:rPr>
          <w:rFonts w:hint="eastAsia" w:ascii="仿宋_GB2312" w:eastAsia="仿宋_GB2312"/>
          <w:b/>
          <w:szCs w:val="21"/>
        </w:rPr>
        <w:t>2</w:t>
      </w:r>
      <w:r>
        <w:rPr>
          <w:rFonts w:hint="eastAsia" w:ascii="仿宋_GB2312" w:eastAsia="仿宋_GB2312"/>
          <w:b/>
          <w:szCs w:val="21"/>
        </w:rPr>
        <w:fldChar w:fldCharType="end"/>
      </w:r>
      <w:r>
        <w:rPr>
          <w:rFonts w:hint="eastAsia" w:ascii="仿宋_GB2312" w:eastAsia="仿宋_GB2312"/>
          <w:b/>
          <w:szCs w:val="21"/>
          <w:lang w:val="en-US" w:eastAsia="zh-CN"/>
        </w:rPr>
        <w:t>5</w:t>
      </w:r>
    </w:p>
    <w:p>
      <w:pPr>
        <w:pStyle w:val="21"/>
        <w:tabs>
          <w:tab w:val="right" w:leader="dot" w:pos="9486"/>
        </w:tabs>
        <w:rPr>
          <w:rFonts w:hint="eastAsia" w:ascii="仿宋_GB2312" w:eastAsia="仿宋_GB2312"/>
          <w:b/>
          <w:szCs w:val="21"/>
          <w:lang w:val="en-US" w:eastAsia="zh-CN"/>
        </w:rPr>
      </w:pPr>
      <w:r>
        <w:fldChar w:fldCharType="begin"/>
      </w:r>
      <w:r>
        <w:instrText xml:space="preserve"> HYPERLINK \l "_Toc421861344" </w:instrText>
      </w:r>
      <w:r>
        <w:fldChar w:fldCharType="separate"/>
      </w:r>
      <w:r>
        <w:rPr>
          <w:rStyle w:val="33"/>
          <w:rFonts w:hint="eastAsia" w:ascii="仿宋_GB2312" w:hAnsi="宋体" w:eastAsia="仿宋_GB2312" w:cs="宋体"/>
          <w:b/>
          <w:color w:val="auto"/>
          <w:szCs w:val="21"/>
        </w:rPr>
        <w:t>第五</w:t>
      </w:r>
      <w:r>
        <w:rPr>
          <w:rStyle w:val="33"/>
          <w:rFonts w:hint="eastAsia" w:ascii="仿宋_GB2312" w:hAnsi="宋体" w:eastAsia="仿宋_GB2312" w:cs="宋体"/>
          <w:b/>
          <w:color w:val="auto"/>
          <w:w w:val="90"/>
          <w:szCs w:val="21"/>
        </w:rPr>
        <w:t>部分</w:t>
      </w:r>
      <w:r>
        <w:rPr>
          <w:rStyle w:val="33"/>
          <w:rFonts w:hint="eastAsia" w:ascii="仿宋_GB2312" w:hAnsi="宋体" w:eastAsia="仿宋_GB2312" w:cs="宋体"/>
          <w:b/>
          <w:color w:val="auto"/>
          <w:szCs w:val="21"/>
        </w:rPr>
        <w:t xml:space="preserve">  投标文件格式</w:t>
      </w:r>
      <w:r>
        <w:rPr>
          <w:rFonts w:hint="eastAsia" w:ascii="仿宋_GB2312" w:eastAsia="仿宋_GB2312"/>
          <w:b/>
          <w:szCs w:val="21"/>
        </w:rPr>
        <w:tab/>
      </w:r>
      <w:r>
        <w:rPr>
          <w:rFonts w:hint="eastAsia" w:ascii="仿宋_GB2312" w:eastAsia="仿宋_GB2312"/>
          <w:b/>
          <w:szCs w:val="21"/>
          <w:lang w:val="en-US" w:eastAsia="zh-CN"/>
        </w:rPr>
        <w:t>2</w:t>
      </w:r>
      <w:r>
        <w:rPr>
          <w:rFonts w:hint="eastAsia" w:ascii="仿宋_GB2312" w:eastAsia="仿宋_GB2312"/>
          <w:b/>
          <w:szCs w:val="21"/>
        </w:rPr>
        <w:fldChar w:fldCharType="end"/>
      </w:r>
      <w:r>
        <w:rPr>
          <w:rFonts w:hint="eastAsia" w:ascii="仿宋_GB2312" w:eastAsia="仿宋_GB2312"/>
          <w:b/>
          <w:szCs w:val="21"/>
          <w:lang w:val="en-US" w:eastAsia="zh-CN"/>
        </w:rPr>
        <w:t>9</w:t>
      </w:r>
    </w:p>
    <w:p>
      <w:pPr>
        <w:autoSpaceDE w:val="0"/>
        <w:autoSpaceDN w:val="0"/>
        <w:adjustRightInd w:val="0"/>
        <w:spacing w:line="500" w:lineRule="exact"/>
        <w:jc w:val="center"/>
        <w:rPr>
          <w:rFonts w:ascii="仿宋_GB2312" w:hAnsi="宋体" w:eastAsia="仿宋_GB2312"/>
          <w:sz w:val="22"/>
          <w:szCs w:val="21"/>
        </w:rPr>
        <w:sectPr>
          <w:footerReference r:id="rId5" w:type="default"/>
          <w:pgSz w:w="11907" w:h="16840"/>
          <w:pgMar w:top="1440" w:right="1107" w:bottom="1440" w:left="1260" w:header="851" w:footer="992" w:gutter="0"/>
          <w:pgNumType w:start="1"/>
          <w:cols w:space="720" w:num="1"/>
          <w:docGrid w:linePitch="323" w:charSpace="-2"/>
        </w:sectPr>
      </w:pPr>
      <w:r>
        <w:rPr>
          <w:rFonts w:hint="eastAsia" w:ascii="仿宋_GB2312" w:hAnsi="仿宋_GB2312" w:eastAsia="仿宋_GB2312" w:cs="仿宋_GB2312"/>
          <w:bCs/>
          <w:sz w:val="24"/>
          <w:szCs w:val="24"/>
        </w:rPr>
        <w:fldChar w:fldCharType="end"/>
      </w:r>
      <w:r>
        <w:rPr>
          <w:rFonts w:hint="eastAsia" w:ascii="仿宋_GB2312" w:hAnsi="宋体" w:eastAsia="仿宋_GB2312"/>
          <w:sz w:val="22"/>
          <w:szCs w:val="21"/>
        </w:rPr>
        <w:t>注：本招标文件共页，请投标人领取招标文件时自行核对，如发现缺、损等情况，自领取招标文件之日起二日内向福建元丰招标有限公司提出，否则，由此造成的一切后果由投标人自负。</w:t>
      </w:r>
    </w:p>
    <w:p>
      <w:pPr>
        <w:autoSpaceDE w:val="0"/>
        <w:autoSpaceDN w:val="0"/>
        <w:adjustRightInd w:val="0"/>
        <w:spacing w:line="500" w:lineRule="exact"/>
        <w:jc w:val="center"/>
        <w:rPr>
          <w:rFonts w:ascii="仿宋_GB2312" w:hAnsi="宋体" w:eastAsia="仿宋_GB2312"/>
          <w:sz w:val="22"/>
          <w:szCs w:val="21"/>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440" w:lineRule="atLeast"/>
        <w:jc w:val="center"/>
        <w:outlineLvl w:val="0"/>
        <w:rPr>
          <w:rFonts w:ascii="仿宋_GB2312" w:hAnsi="宋体" w:eastAsia="仿宋_GB2312" w:cs="宋体"/>
          <w:b/>
          <w:sz w:val="52"/>
          <w:szCs w:val="52"/>
        </w:rPr>
      </w:pPr>
      <w:bookmarkStart w:id="0" w:name="_Toc377051017"/>
      <w:bookmarkStart w:id="1" w:name="_Toc421861314"/>
      <w:r>
        <w:rPr>
          <w:rFonts w:hint="eastAsia" w:ascii="仿宋_GB2312" w:hAnsi="宋体" w:eastAsia="仿宋_GB2312" w:cs="宋体"/>
          <w:b/>
          <w:sz w:val="52"/>
          <w:szCs w:val="52"/>
        </w:rPr>
        <w:t>第一部分  投标邀请</w:t>
      </w:r>
      <w:bookmarkEnd w:id="0"/>
      <w:bookmarkEnd w:id="1"/>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autoSpaceDE w:val="0"/>
        <w:autoSpaceDN w:val="0"/>
        <w:adjustRightInd w:val="0"/>
        <w:spacing w:line="500" w:lineRule="exact"/>
        <w:jc w:val="center"/>
        <w:rPr>
          <w:rFonts w:ascii="仿宋_GB2312" w:hAnsi="宋体" w:eastAsia="仿宋_GB2312"/>
        </w:rPr>
      </w:pPr>
    </w:p>
    <w:p>
      <w:pPr>
        <w:spacing w:line="400" w:lineRule="exact"/>
        <w:jc w:val="center"/>
        <w:outlineLvl w:val="1"/>
        <w:rPr>
          <w:rFonts w:ascii="仿宋_GB2312" w:hAnsi="宋体" w:eastAsia="仿宋_GB2312" w:cs="宋体"/>
          <w:b/>
          <w:sz w:val="32"/>
          <w:szCs w:val="32"/>
        </w:rPr>
        <w:sectPr>
          <w:footerReference r:id="rId6" w:type="default"/>
          <w:pgSz w:w="11907" w:h="16840"/>
          <w:pgMar w:top="1440" w:right="1107" w:bottom="1440" w:left="1260" w:header="851" w:footer="992" w:gutter="0"/>
          <w:pgNumType w:start="1"/>
          <w:cols w:space="720" w:num="1"/>
          <w:docGrid w:linePitch="323" w:charSpace="-2"/>
        </w:sectPr>
      </w:pPr>
      <w:bookmarkStart w:id="2" w:name="_Toc377051018"/>
      <w:bookmarkStart w:id="3" w:name="_Toc421861315"/>
      <w:bookmarkStart w:id="4" w:name="_Toc209947056"/>
      <w:bookmarkStart w:id="5" w:name="_Toc177879348"/>
      <w:bookmarkStart w:id="6" w:name="_Toc175203628"/>
    </w:p>
    <w:p>
      <w:pPr>
        <w:spacing w:line="400" w:lineRule="exact"/>
        <w:jc w:val="center"/>
        <w:outlineLvl w:val="1"/>
        <w:rPr>
          <w:rFonts w:ascii="仿宋_GB2312" w:hAnsi="宋体" w:eastAsia="仿宋_GB2312" w:cs="宋体"/>
          <w:b/>
          <w:sz w:val="32"/>
          <w:szCs w:val="32"/>
        </w:rPr>
      </w:pPr>
      <w:r>
        <w:rPr>
          <w:rFonts w:hint="eastAsia" w:ascii="仿宋_GB2312" w:hAnsi="宋体" w:eastAsia="仿宋_GB2312" w:cs="宋体"/>
          <w:b/>
          <w:sz w:val="32"/>
          <w:szCs w:val="32"/>
        </w:rPr>
        <w:t>一、投标邀请函</w:t>
      </w:r>
      <w:bookmarkEnd w:id="2"/>
      <w:bookmarkEnd w:id="3"/>
    </w:p>
    <w:p>
      <w:pPr>
        <w:autoSpaceDE w:val="0"/>
        <w:autoSpaceDN w:val="0"/>
        <w:adjustRightInd w:val="0"/>
        <w:snapToGrid w:val="0"/>
        <w:spacing w:line="360" w:lineRule="auto"/>
        <w:ind w:firstLine="720" w:firstLineChars="300"/>
        <w:jc w:val="left"/>
        <w:rPr>
          <w:rFonts w:ascii="仿宋_GB2312" w:hAnsi="宋体" w:eastAsia="仿宋_GB2312" w:cs="宋体"/>
          <w:b/>
          <w:bCs/>
          <w:sz w:val="32"/>
          <w:szCs w:val="32"/>
          <w:lang w:val="zh-CN"/>
        </w:rPr>
      </w:pPr>
      <w:r>
        <w:rPr>
          <w:rFonts w:hint="eastAsia" w:ascii="仿宋_GB2312" w:hAnsi="宋体" w:eastAsia="仿宋_GB2312"/>
          <w:sz w:val="24"/>
          <w:szCs w:val="24"/>
        </w:rPr>
        <w:t>受</w:t>
      </w:r>
      <w:r>
        <w:rPr>
          <w:rFonts w:hint="eastAsia" w:ascii="仿宋_GB2312" w:hAnsi="宋体" w:eastAsia="仿宋_GB2312" w:cs="宋体"/>
          <w:b/>
          <w:bCs/>
          <w:sz w:val="24"/>
          <w:szCs w:val="22"/>
          <w:u w:val="single"/>
          <w:lang w:eastAsia="zh-CN"/>
        </w:rPr>
        <w:t>泉州市应急管理局</w:t>
      </w:r>
      <w:r>
        <w:rPr>
          <w:rFonts w:hint="eastAsia" w:ascii="仿宋_GB2312" w:hAnsi="宋体" w:eastAsia="仿宋_GB2312"/>
          <w:sz w:val="24"/>
          <w:szCs w:val="24"/>
        </w:rPr>
        <w:t>的委托，</w:t>
      </w:r>
      <w:r>
        <w:rPr>
          <w:rFonts w:hint="eastAsia" w:ascii="仿宋_GB2312" w:hAnsi="宋体" w:eastAsia="仿宋_GB2312"/>
          <w:b/>
          <w:bCs/>
          <w:sz w:val="24"/>
          <w:szCs w:val="24"/>
          <w:u w:val="single"/>
        </w:rPr>
        <w:t>福建元丰招标有限公司</w:t>
      </w:r>
      <w:r>
        <w:rPr>
          <w:rFonts w:hint="eastAsia" w:ascii="仿宋_GB2312" w:hAnsi="宋体" w:eastAsia="仿宋_GB2312"/>
          <w:sz w:val="24"/>
          <w:szCs w:val="24"/>
        </w:rPr>
        <w:t>对其所</w:t>
      </w:r>
      <w:r>
        <w:rPr>
          <w:rFonts w:hint="eastAsia" w:ascii="仿宋_GB2312" w:hAnsi="宋体" w:eastAsia="仿宋_GB2312"/>
          <w:color w:val="auto"/>
          <w:sz w:val="24"/>
          <w:szCs w:val="24"/>
        </w:rPr>
        <w:t>需的</w:t>
      </w:r>
      <w:r>
        <w:rPr>
          <w:rFonts w:hint="eastAsia" w:ascii="仿宋_GB2312" w:hAnsi="宋体" w:eastAsia="仿宋_GB2312"/>
          <w:b/>
          <w:bCs/>
          <w:color w:val="auto"/>
          <w:sz w:val="24"/>
          <w:szCs w:val="24"/>
          <w:u w:val="single"/>
          <w:lang w:eastAsia="zh-CN"/>
        </w:rPr>
        <w:t>泉州市应急管理局</w:t>
      </w:r>
      <w:r>
        <w:rPr>
          <w:rFonts w:hint="eastAsia" w:ascii="仿宋_GB2312" w:hAnsi="宋体" w:eastAsia="仿宋_GB2312"/>
          <w:b/>
          <w:bCs/>
          <w:color w:val="auto"/>
          <w:sz w:val="24"/>
          <w:szCs w:val="24"/>
          <w:u w:val="single"/>
        </w:rPr>
        <w:t>市级</w:t>
      </w:r>
      <w:r>
        <w:rPr>
          <w:rFonts w:hint="eastAsia" w:ascii="仿宋_GB2312" w:hAnsi="宋体" w:eastAsia="仿宋_GB2312"/>
          <w:b/>
          <w:bCs/>
          <w:color w:val="auto"/>
          <w:sz w:val="24"/>
          <w:szCs w:val="24"/>
          <w:u w:val="single"/>
          <w:lang w:eastAsia="zh-CN"/>
        </w:rPr>
        <w:t>救灾预备金</w:t>
      </w:r>
      <w:r>
        <w:rPr>
          <w:rFonts w:hint="eastAsia" w:ascii="仿宋_GB2312" w:hAnsi="宋体" w:eastAsia="仿宋_GB2312"/>
          <w:b/>
          <w:bCs/>
          <w:color w:val="auto"/>
          <w:sz w:val="24"/>
          <w:szCs w:val="24"/>
          <w:u w:val="single"/>
        </w:rPr>
        <w:t>存放银行招标项目</w:t>
      </w:r>
      <w:r>
        <w:rPr>
          <w:rFonts w:hint="eastAsia" w:ascii="仿宋_GB2312" w:hAnsi="宋体" w:eastAsia="仿宋_GB2312"/>
          <w:sz w:val="24"/>
          <w:szCs w:val="24"/>
        </w:rPr>
        <w:t>进行国内</w:t>
      </w:r>
      <w:r>
        <w:rPr>
          <w:rFonts w:hint="eastAsia" w:ascii="仿宋_GB2312" w:hAnsi="宋体" w:eastAsia="仿宋_GB2312"/>
          <w:b/>
          <w:bCs/>
          <w:sz w:val="24"/>
          <w:szCs w:val="24"/>
          <w:u w:val="single"/>
        </w:rPr>
        <w:t>公开招标</w:t>
      </w:r>
      <w:r>
        <w:rPr>
          <w:rFonts w:hint="eastAsia" w:ascii="仿宋_GB2312" w:hAnsi="宋体" w:eastAsia="仿宋_GB2312"/>
          <w:sz w:val="24"/>
          <w:szCs w:val="24"/>
        </w:rPr>
        <w:t>，现欢迎具备资质的合格投标人以密封标书的方式前来投标。</w:t>
      </w:r>
    </w:p>
    <w:p>
      <w:pPr>
        <w:spacing w:line="400" w:lineRule="exact"/>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rPr>
        <w:t>1、招标编号：</w:t>
      </w:r>
      <w:r>
        <w:rPr>
          <w:rFonts w:hint="eastAsia" w:ascii="仿宋_GB2312" w:hAnsi="宋体" w:eastAsia="仿宋_GB2312"/>
          <w:b/>
          <w:sz w:val="24"/>
          <w:szCs w:val="24"/>
        </w:rPr>
        <w:t>FJYFCGZ20</w:t>
      </w:r>
      <w:r>
        <w:rPr>
          <w:rFonts w:hint="eastAsia" w:ascii="仿宋_GB2312" w:hAnsi="宋体" w:eastAsia="仿宋_GB2312"/>
          <w:b/>
          <w:sz w:val="24"/>
          <w:szCs w:val="24"/>
          <w:lang w:val="en-US" w:eastAsia="zh-CN"/>
        </w:rPr>
        <w:t>2007</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2、招标方式：</w:t>
      </w:r>
      <w:r>
        <w:rPr>
          <w:rFonts w:hint="eastAsia" w:ascii="仿宋_GB2312" w:hAnsi="宋体" w:eastAsia="仿宋_GB2312"/>
          <w:b/>
          <w:sz w:val="24"/>
          <w:szCs w:val="24"/>
        </w:rPr>
        <w:t xml:space="preserve">公开招标 </w:t>
      </w:r>
    </w:p>
    <w:p>
      <w:pPr>
        <w:spacing w:line="400" w:lineRule="exact"/>
        <w:ind w:firstLine="480" w:firstLineChars="200"/>
        <w:rPr>
          <w:rFonts w:ascii="仿宋_GB2312" w:hAnsi="宋体" w:eastAsia="仿宋_GB2312"/>
          <w:b/>
          <w:bCs/>
          <w:color w:val="auto"/>
          <w:sz w:val="24"/>
          <w:szCs w:val="24"/>
          <w:u w:val="single"/>
        </w:rPr>
      </w:pPr>
      <w:r>
        <w:rPr>
          <w:rFonts w:hint="eastAsia" w:ascii="仿宋_GB2312" w:hAnsi="宋体" w:eastAsia="仿宋_GB2312"/>
          <w:sz w:val="24"/>
          <w:szCs w:val="24"/>
        </w:rPr>
        <w:t>3、招标项目：</w:t>
      </w:r>
      <w:r>
        <w:rPr>
          <w:rFonts w:hint="eastAsia" w:ascii="仿宋_GB2312" w:hAnsi="宋体" w:eastAsia="仿宋_GB2312"/>
          <w:b/>
          <w:bCs/>
          <w:color w:val="auto"/>
          <w:sz w:val="24"/>
          <w:szCs w:val="24"/>
          <w:u w:val="single"/>
          <w:lang w:eastAsia="zh-CN"/>
        </w:rPr>
        <w:t>泉州市应急管理局</w:t>
      </w:r>
      <w:r>
        <w:rPr>
          <w:rFonts w:hint="eastAsia" w:ascii="仿宋_GB2312" w:hAnsi="宋体" w:eastAsia="仿宋_GB2312"/>
          <w:b/>
          <w:bCs/>
          <w:color w:val="auto"/>
          <w:sz w:val="24"/>
          <w:szCs w:val="24"/>
          <w:u w:val="single"/>
        </w:rPr>
        <w:t>市级</w:t>
      </w:r>
      <w:r>
        <w:rPr>
          <w:rFonts w:hint="eastAsia" w:ascii="仿宋_GB2312" w:hAnsi="宋体" w:eastAsia="仿宋_GB2312"/>
          <w:b/>
          <w:bCs/>
          <w:color w:val="auto"/>
          <w:sz w:val="24"/>
          <w:szCs w:val="24"/>
          <w:u w:val="single"/>
          <w:lang w:eastAsia="zh-CN"/>
        </w:rPr>
        <w:t>救灾预备金</w:t>
      </w:r>
      <w:r>
        <w:rPr>
          <w:rFonts w:hint="eastAsia" w:ascii="仿宋_GB2312" w:hAnsi="宋体" w:eastAsia="仿宋_GB2312"/>
          <w:b/>
          <w:bCs/>
          <w:color w:val="auto"/>
          <w:sz w:val="24"/>
          <w:szCs w:val="24"/>
          <w:u w:val="single"/>
        </w:rPr>
        <w:t>存放银行招标项目</w:t>
      </w:r>
    </w:p>
    <w:p>
      <w:pPr>
        <w:widowControl/>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4、投标人资质要求：</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val="en-US"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lang w:val="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lang w:val="zh-CN" w:eastAsia="zh-CN"/>
        </w:rPr>
        <w:t>并提供营业执照复印件</w:t>
      </w:r>
      <w:r>
        <w:rPr>
          <w:rFonts w:hint="eastAsia" w:ascii="仿宋_GB2312" w:hAnsi="宋体" w:eastAsia="仿宋_GB2312" w:cs="宋体"/>
          <w:color w:val="auto"/>
          <w:sz w:val="24"/>
          <w:lang w:val="zh-CN"/>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i/>
          <w:iCs/>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400" w:lineRule="exact"/>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※投标人须提供的资格证明文件详见本招标文件《第三部分 投标人须知》10.</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第</w:t>
      </w:r>
      <w:r>
        <w:rPr>
          <w:rFonts w:hint="eastAsia" w:ascii="仿宋_GB2312" w:hAnsi="宋体" w:eastAsia="仿宋_GB2312"/>
          <w:sz w:val="24"/>
          <w:szCs w:val="24"/>
          <w:highlight w:val="none"/>
          <w:lang w:val="en-US" w:eastAsia="zh-CN"/>
        </w:rPr>
        <w:t>(5)</w:t>
      </w:r>
      <w:r>
        <w:rPr>
          <w:rFonts w:hint="eastAsia" w:ascii="仿宋_GB2312" w:hAnsi="宋体" w:eastAsia="仿宋_GB2312"/>
          <w:sz w:val="24"/>
          <w:szCs w:val="24"/>
          <w:highlight w:val="none"/>
        </w:rPr>
        <w:t>款。</w:t>
      </w:r>
    </w:p>
    <w:p>
      <w:pPr>
        <w:numPr>
          <w:ilvl w:val="0"/>
          <w:numId w:val="1"/>
        </w:num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招标文件公告时间：20</w:t>
      </w:r>
      <w:r>
        <w:rPr>
          <w:rFonts w:hint="eastAsia" w:ascii="仿宋_GB2312" w:hAnsi="宋体" w:eastAsia="仿宋_GB2312"/>
          <w:sz w:val="24"/>
          <w:szCs w:val="24"/>
          <w:lang w:val="en-US" w:eastAsia="zh-CN"/>
        </w:rPr>
        <w:t>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日至</w:t>
      </w:r>
      <w:r>
        <w:rPr>
          <w:rFonts w:hint="eastAsia" w:ascii="仿宋_GB2312" w:hAnsi="宋体" w:eastAsia="仿宋_GB2312"/>
          <w:sz w:val="24"/>
          <w:szCs w:val="24"/>
          <w:lang w:eastAsia="zh-CN"/>
        </w:rPr>
        <w:t>2020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2</w:t>
      </w:r>
      <w:r>
        <w:rPr>
          <w:rFonts w:hint="eastAsia" w:ascii="仿宋_GB2312" w:hAnsi="宋体" w:eastAsia="仿宋_GB2312"/>
          <w:sz w:val="24"/>
          <w:szCs w:val="24"/>
        </w:rPr>
        <w:t>日</w:t>
      </w:r>
    </w:p>
    <w:p>
      <w:pPr>
        <w:numPr>
          <w:ilvl w:val="0"/>
          <w:numId w:val="1"/>
        </w:num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获取招标文件时间：</w:t>
      </w:r>
      <w:r>
        <w:rPr>
          <w:rFonts w:hint="eastAsia" w:ascii="仿宋_GB2312" w:hAnsi="宋体" w:eastAsia="仿宋_GB2312"/>
          <w:sz w:val="24"/>
          <w:szCs w:val="24"/>
          <w:lang w:eastAsia="zh-CN"/>
        </w:rPr>
        <w:t>2020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日至</w:t>
      </w:r>
      <w:r>
        <w:rPr>
          <w:rFonts w:hint="eastAsia" w:ascii="仿宋_GB2312" w:hAnsi="宋体" w:eastAsia="仿宋_GB2312"/>
          <w:sz w:val="24"/>
          <w:szCs w:val="24"/>
          <w:lang w:eastAsia="zh-CN"/>
        </w:rPr>
        <w:t>2020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10</w:t>
      </w:r>
      <w:r>
        <w:rPr>
          <w:rFonts w:hint="eastAsia" w:ascii="仿宋_GB2312" w:hAnsi="宋体" w:eastAsia="仿宋_GB2312"/>
          <w:sz w:val="24"/>
          <w:szCs w:val="24"/>
        </w:rPr>
        <w:t>日17:30</w:t>
      </w:r>
    </w:p>
    <w:p>
      <w:pPr>
        <w:numPr>
          <w:ilvl w:val="0"/>
          <w:numId w:val="1"/>
        </w:numPr>
        <w:spacing w:line="400" w:lineRule="exact"/>
        <w:ind w:left="0" w:leftChars="0" w:firstLine="480" w:firstLineChars="200"/>
        <w:rPr>
          <w:rFonts w:hint="eastAsia" w:ascii="仿宋_GB2312" w:hAnsi="宋体" w:eastAsia="仿宋_GB2312"/>
          <w:sz w:val="24"/>
          <w:szCs w:val="24"/>
        </w:rPr>
      </w:pPr>
      <w:r>
        <w:rPr>
          <w:rFonts w:hint="eastAsia" w:ascii="仿宋_GB2312" w:hAnsi="宋体" w:eastAsia="仿宋_GB2312"/>
          <w:sz w:val="24"/>
          <w:szCs w:val="24"/>
        </w:rPr>
        <w:t>请各潜在投标人自行从</w:t>
      </w:r>
      <w:r>
        <w:rPr>
          <w:rFonts w:hint="eastAsia" w:ascii="仿宋_GB2312" w:hAnsi="宋体" w:eastAsia="仿宋_GB2312" w:cs="宋体"/>
          <w:color w:val="auto"/>
          <w:sz w:val="24"/>
          <w:szCs w:val="22"/>
          <w:lang w:eastAsia="zh-CN"/>
        </w:rPr>
        <w:t>泉州市应急管理局</w:t>
      </w:r>
      <w:r>
        <w:rPr>
          <w:rFonts w:hint="eastAsia" w:ascii="仿宋_GB2312" w:hAnsi="宋体" w:eastAsia="仿宋_GB2312" w:cs="宋体"/>
          <w:color w:val="auto"/>
          <w:sz w:val="24"/>
          <w:szCs w:val="22"/>
        </w:rPr>
        <w:t>官方网站（</w:t>
      </w:r>
      <w:r>
        <w:rPr>
          <w:color w:val="auto"/>
        </w:rPr>
        <w:fldChar w:fldCharType="begin"/>
      </w:r>
      <w:r>
        <w:rPr>
          <w:color w:val="auto"/>
        </w:rPr>
        <w:instrText xml:space="preserve"> HYPERLINK "http://czj.quanzhou.gov.cn/" </w:instrText>
      </w:r>
      <w:r>
        <w:rPr>
          <w:color w:val="auto"/>
        </w:rPr>
        <w:fldChar w:fldCharType="separate"/>
      </w:r>
      <w:r>
        <w:rPr>
          <w:rFonts w:hint="eastAsia" w:ascii="仿宋_GB2312" w:hAnsi="宋体" w:eastAsia="仿宋_GB2312" w:cs="宋体"/>
          <w:color w:val="auto"/>
          <w:sz w:val="24"/>
          <w:szCs w:val="22"/>
        </w:rPr>
        <w:t>http://yjj.quanzhou.gov.cn/） </w:t>
      </w:r>
      <w:r>
        <w:rPr>
          <w:rFonts w:hint="eastAsia" w:ascii="仿宋_GB2312" w:hAnsi="宋体" w:eastAsia="仿宋_GB2312" w:cs="宋体"/>
          <w:color w:val="auto"/>
          <w:sz w:val="24"/>
          <w:szCs w:val="22"/>
        </w:rPr>
        <w:fldChar w:fldCharType="end"/>
      </w:r>
      <w:r>
        <w:rPr>
          <w:rFonts w:hint="eastAsia" w:ascii="仿宋_GB2312" w:hAnsi="宋体" w:eastAsia="仿宋_GB2312"/>
          <w:color w:val="auto"/>
          <w:sz w:val="24"/>
          <w:szCs w:val="24"/>
        </w:rPr>
        <w:t>下载，购买招标文件的费用应在提交投标文件前认缴。本招标文件内容及相关信息在</w:t>
      </w:r>
      <w:r>
        <w:rPr>
          <w:rFonts w:hint="eastAsia" w:ascii="仿宋_GB2312" w:hAnsi="宋体" w:eastAsia="仿宋_GB2312" w:cs="宋体"/>
          <w:color w:val="auto"/>
          <w:sz w:val="24"/>
          <w:szCs w:val="22"/>
          <w:lang w:eastAsia="zh-CN"/>
        </w:rPr>
        <w:t>泉州市应急管理局</w:t>
      </w:r>
      <w:r>
        <w:rPr>
          <w:rFonts w:hint="eastAsia" w:ascii="仿宋_GB2312" w:hAnsi="宋体" w:eastAsia="仿宋_GB2312" w:cs="宋体"/>
          <w:color w:val="auto"/>
          <w:sz w:val="24"/>
          <w:szCs w:val="22"/>
        </w:rPr>
        <w:t>官方网站（</w:t>
      </w:r>
      <w:r>
        <w:rPr>
          <w:color w:val="auto"/>
        </w:rPr>
        <w:fldChar w:fldCharType="begin"/>
      </w:r>
      <w:r>
        <w:rPr>
          <w:color w:val="auto"/>
        </w:rPr>
        <w:instrText xml:space="preserve"> HYPERLINK "http://czj.quanzhou.gov.cn/" </w:instrText>
      </w:r>
      <w:r>
        <w:rPr>
          <w:color w:val="auto"/>
        </w:rPr>
        <w:fldChar w:fldCharType="separate"/>
      </w:r>
      <w:r>
        <w:rPr>
          <w:rFonts w:hint="eastAsia" w:ascii="仿宋_GB2312" w:hAnsi="宋体" w:eastAsia="仿宋_GB2312" w:cs="宋体"/>
          <w:color w:val="auto"/>
          <w:sz w:val="24"/>
          <w:szCs w:val="22"/>
        </w:rPr>
        <w:t>http://yjj.quanzhou.gov.cn/）</w:t>
      </w:r>
      <w:r>
        <w:rPr>
          <w:rFonts w:hint="eastAsia" w:ascii="仿宋_GB2312" w:hAnsi="宋体" w:eastAsia="仿宋_GB2312" w:cs="宋体"/>
          <w:color w:val="auto"/>
          <w:sz w:val="24"/>
          <w:szCs w:val="22"/>
        </w:rPr>
        <w:fldChar w:fldCharType="end"/>
      </w:r>
      <w:r>
        <w:rPr>
          <w:rFonts w:hint="eastAsia" w:ascii="仿宋_GB2312" w:hAnsi="宋体" w:eastAsia="仿宋_GB2312"/>
          <w:color w:val="auto"/>
          <w:sz w:val="24"/>
          <w:szCs w:val="24"/>
        </w:rPr>
        <w:t>公告。</w:t>
      </w:r>
      <w:r>
        <w:rPr>
          <w:rFonts w:hint="eastAsia" w:ascii="仿宋_GB2312" w:hAnsi="宋体" w:eastAsia="仿宋_GB2312"/>
          <w:sz w:val="24"/>
          <w:szCs w:val="24"/>
        </w:rPr>
        <w:t>招标文件售价人民币</w:t>
      </w:r>
      <w:r>
        <w:rPr>
          <w:rFonts w:hint="eastAsia" w:ascii="仿宋_GB2312" w:hAnsi="宋体" w:eastAsia="仿宋_GB2312"/>
          <w:sz w:val="24"/>
          <w:szCs w:val="24"/>
          <w:lang w:val="en-US" w:eastAsia="zh-CN"/>
        </w:rPr>
        <w:t>3</w:t>
      </w:r>
      <w:r>
        <w:rPr>
          <w:rFonts w:hint="eastAsia" w:ascii="仿宋_GB2312" w:hAnsi="宋体" w:eastAsia="仿宋_GB2312"/>
          <w:sz w:val="24"/>
          <w:szCs w:val="24"/>
        </w:rPr>
        <w:t>00元，如需邮寄另加收邮寄费50元。招标文件售出一概不退。未按约定购买招标文件者的投标将被拒绝。</w:t>
      </w:r>
    </w:p>
    <w:p>
      <w:pPr>
        <w:numPr>
          <w:ilvl w:val="0"/>
          <w:numId w:val="1"/>
        </w:numPr>
        <w:spacing w:line="400" w:lineRule="exact"/>
        <w:ind w:left="0" w:leftChars="0" w:firstLine="482" w:firstLineChars="200"/>
        <w:rPr>
          <w:rFonts w:ascii="仿宋_GB2312" w:hAnsi="宋体" w:eastAsia="仿宋_GB2312"/>
          <w:sz w:val="24"/>
          <w:szCs w:val="24"/>
        </w:rPr>
      </w:pPr>
      <w:r>
        <w:rPr>
          <w:rFonts w:hint="eastAsia" w:ascii="仿宋_GB2312" w:hAnsi="宋体" w:eastAsia="仿宋_GB2312"/>
          <w:b/>
          <w:sz w:val="24"/>
          <w:szCs w:val="24"/>
        </w:rPr>
        <w:t>投标文件递交截止时间：</w:t>
      </w:r>
      <w:r>
        <w:rPr>
          <w:rFonts w:hint="eastAsia" w:ascii="仿宋_GB2312" w:hAnsi="宋体" w:eastAsia="仿宋_GB2312"/>
          <w:b/>
          <w:sz w:val="24"/>
          <w:szCs w:val="24"/>
          <w:u w:val="single"/>
          <w:lang w:eastAsia="zh-CN"/>
        </w:rPr>
        <w:t>2020</w:t>
      </w:r>
      <w:r>
        <w:rPr>
          <w:rFonts w:hint="eastAsia" w:ascii="仿宋_GB2312" w:hAnsi="宋体" w:eastAsia="仿宋_GB2312"/>
          <w:b/>
          <w:sz w:val="24"/>
          <w:szCs w:val="24"/>
          <w:u w:val="single"/>
        </w:rPr>
        <w:t>年</w:t>
      </w:r>
      <w:r>
        <w:rPr>
          <w:rFonts w:hint="eastAsia" w:ascii="仿宋_GB2312" w:hAnsi="宋体" w:eastAsia="仿宋_GB2312"/>
          <w:b/>
          <w:sz w:val="24"/>
          <w:szCs w:val="24"/>
          <w:u w:val="single"/>
          <w:lang w:val="en-US" w:eastAsia="zh-CN"/>
        </w:rPr>
        <w:t>6</w:t>
      </w:r>
      <w:r>
        <w:rPr>
          <w:rFonts w:hint="eastAsia" w:ascii="仿宋_GB2312" w:hAnsi="宋体" w:eastAsia="仿宋_GB2312"/>
          <w:b/>
          <w:sz w:val="24"/>
          <w:szCs w:val="24"/>
          <w:u w:val="single"/>
        </w:rPr>
        <w:t>月</w:t>
      </w:r>
      <w:r>
        <w:rPr>
          <w:rFonts w:hint="eastAsia" w:ascii="仿宋_GB2312" w:hAnsi="宋体" w:eastAsia="仿宋_GB2312"/>
          <w:b/>
          <w:sz w:val="24"/>
          <w:szCs w:val="24"/>
          <w:u w:val="single"/>
          <w:lang w:val="en-US" w:eastAsia="zh-CN"/>
        </w:rPr>
        <w:t>17</w:t>
      </w:r>
      <w:r>
        <w:rPr>
          <w:rFonts w:hint="eastAsia" w:ascii="仿宋_GB2312" w:hAnsi="宋体" w:eastAsia="仿宋_GB2312"/>
          <w:b/>
          <w:sz w:val="24"/>
          <w:szCs w:val="24"/>
          <w:u w:val="single"/>
        </w:rPr>
        <w:t>日上午9:</w:t>
      </w:r>
      <w:r>
        <w:rPr>
          <w:rFonts w:hint="eastAsia" w:ascii="仿宋_GB2312" w:hAnsi="宋体" w:eastAsia="仿宋_GB2312"/>
          <w:b/>
          <w:sz w:val="24"/>
          <w:szCs w:val="24"/>
          <w:u w:val="single"/>
          <w:lang w:val="en-US" w:eastAsia="zh-CN"/>
        </w:rPr>
        <w:t>3</w:t>
      </w:r>
      <w:r>
        <w:rPr>
          <w:rFonts w:hint="eastAsia" w:ascii="仿宋_GB2312" w:hAnsi="宋体" w:eastAsia="仿宋_GB2312"/>
          <w:b/>
          <w:sz w:val="24"/>
          <w:szCs w:val="24"/>
          <w:u w:val="single"/>
        </w:rPr>
        <w:t>0（北京时间）</w:t>
      </w:r>
      <w:r>
        <w:rPr>
          <w:rFonts w:hint="eastAsia" w:ascii="仿宋_GB2312" w:hAnsi="宋体" w:eastAsia="仿宋_GB2312"/>
          <w:sz w:val="24"/>
          <w:szCs w:val="24"/>
        </w:rPr>
        <w:t>，逾期收到的或不符合规定的投标文件将被拒绝。</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9、</w:t>
      </w:r>
      <w:r>
        <w:rPr>
          <w:rFonts w:hint="eastAsia" w:ascii="仿宋_GB2312" w:hAnsi="宋体" w:eastAsia="仿宋_GB2312"/>
          <w:b/>
          <w:sz w:val="24"/>
          <w:szCs w:val="24"/>
        </w:rPr>
        <w:t>开标时间：</w:t>
      </w:r>
      <w:r>
        <w:rPr>
          <w:rFonts w:hint="eastAsia" w:ascii="仿宋_GB2312" w:hAnsi="宋体" w:eastAsia="仿宋_GB2312"/>
          <w:b/>
          <w:sz w:val="24"/>
          <w:szCs w:val="24"/>
          <w:u w:val="single"/>
          <w:lang w:eastAsia="zh-CN"/>
        </w:rPr>
        <w:t>2020</w:t>
      </w:r>
      <w:r>
        <w:rPr>
          <w:rFonts w:hint="eastAsia" w:ascii="仿宋_GB2312" w:hAnsi="宋体" w:eastAsia="仿宋_GB2312"/>
          <w:b/>
          <w:sz w:val="24"/>
          <w:szCs w:val="24"/>
          <w:u w:val="single"/>
        </w:rPr>
        <w:t>年</w:t>
      </w:r>
      <w:r>
        <w:rPr>
          <w:rFonts w:hint="eastAsia" w:ascii="仿宋_GB2312" w:hAnsi="宋体" w:eastAsia="仿宋_GB2312"/>
          <w:b/>
          <w:sz w:val="24"/>
          <w:szCs w:val="24"/>
          <w:u w:val="single"/>
          <w:lang w:val="en-US" w:eastAsia="zh-CN"/>
        </w:rPr>
        <w:t>6</w:t>
      </w:r>
      <w:r>
        <w:rPr>
          <w:rFonts w:hint="eastAsia" w:ascii="仿宋_GB2312" w:hAnsi="宋体" w:eastAsia="仿宋_GB2312"/>
          <w:b/>
          <w:sz w:val="24"/>
          <w:szCs w:val="24"/>
          <w:u w:val="single"/>
        </w:rPr>
        <w:t>月</w:t>
      </w:r>
      <w:r>
        <w:rPr>
          <w:rFonts w:hint="eastAsia" w:ascii="仿宋_GB2312" w:hAnsi="宋体" w:eastAsia="仿宋_GB2312"/>
          <w:b/>
          <w:sz w:val="24"/>
          <w:szCs w:val="24"/>
          <w:u w:val="single"/>
          <w:lang w:val="en-US" w:eastAsia="zh-CN"/>
        </w:rPr>
        <w:t>17</w:t>
      </w:r>
      <w:r>
        <w:rPr>
          <w:rFonts w:hint="eastAsia" w:ascii="仿宋_GB2312" w:hAnsi="宋体" w:eastAsia="仿宋_GB2312"/>
          <w:b/>
          <w:sz w:val="24"/>
          <w:szCs w:val="24"/>
          <w:u w:val="single"/>
        </w:rPr>
        <w:t>日上午9:</w:t>
      </w:r>
      <w:r>
        <w:rPr>
          <w:rFonts w:hint="eastAsia" w:ascii="仿宋_GB2312" w:hAnsi="宋体" w:eastAsia="仿宋_GB2312"/>
          <w:b/>
          <w:sz w:val="24"/>
          <w:szCs w:val="24"/>
          <w:u w:val="single"/>
          <w:lang w:val="en-US" w:eastAsia="zh-CN"/>
        </w:rPr>
        <w:t>3</w:t>
      </w:r>
      <w:r>
        <w:rPr>
          <w:rFonts w:hint="eastAsia" w:ascii="仿宋_GB2312" w:hAnsi="宋体" w:eastAsia="仿宋_GB2312"/>
          <w:b/>
          <w:sz w:val="24"/>
          <w:szCs w:val="24"/>
          <w:u w:val="single"/>
        </w:rPr>
        <w:t>0（北京时间）</w:t>
      </w:r>
      <w:r>
        <w:rPr>
          <w:rFonts w:hint="eastAsia" w:ascii="仿宋_GB2312" w:hAnsi="宋体" w:eastAsia="仿宋_GB2312"/>
          <w:sz w:val="24"/>
          <w:szCs w:val="24"/>
        </w:rPr>
        <w:t>。</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10、投标文件递交地点及开标地点：福建元丰招标有限公司（地址：福建省泉州市区刺桐东路富康大厦201室）。</w:t>
      </w:r>
    </w:p>
    <w:p>
      <w:pPr>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11、有关本项目招标的相关信息（包括招标文件若有修改）都将在发布招标公告网站上公布，针对购买招标文件的潜在投标人通知，请潜在投标人随时关注相关网站，以免错漏重要信息。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eastAsia="仿宋_GB2312" w:cs="宋体"/>
          <w:color w:val="auto"/>
          <w:sz w:val="24"/>
          <w:szCs w:val="24"/>
        </w:rPr>
      </w:pPr>
      <w:r>
        <w:rPr>
          <w:rFonts w:hint="eastAsia" w:ascii="仿宋_GB2312" w:hAnsi="宋体" w:eastAsia="仿宋_GB2312"/>
          <w:color w:val="auto"/>
          <w:sz w:val="24"/>
          <w:szCs w:val="24"/>
        </w:rPr>
        <w:t>12、</w:t>
      </w:r>
      <w:r>
        <w:rPr>
          <w:rFonts w:hint="eastAsia" w:ascii="仿宋_GB2312" w:hAnsi="宋体" w:eastAsia="仿宋_GB2312" w:cs="宋体"/>
          <w:color w:val="auto"/>
          <w:sz w:val="24"/>
          <w:szCs w:val="24"/>
        </w:rPr>
        <w:t>招标人</w:t>
      </w:r>
      <w:r>
        <w:rPr>
          <w:rFonts w:hint="eastAsia" w:ascii="仿宋_GB2312" w:hAnsi="宋体" w:eastAsia="仿宋_GB2312"/>
          <w:sz w:val="24"/>
          <w:szCs w:val="24"/>
        </w:rPr>
        <w:t>联系人：</w:t>
      </w:r>
      <w:r>
        <w:rPr>
          <w:rFonts w:hint="eastAsia" w:ascii="仿宋_GB2312" w:hAnsi="宋体" w:eastAsia="仿宋_GB2312"/>
          <w:sz w:val="24"/>
          <w:szCs w:val="24"/>
          <w:lang w:eastAsia="zh-CN"/>
        </w:rPr>
        <w:t>小郭</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联系电话：0595-</w:t>
      </w:r>
      <w:r>
        <w:rPr>
          <w:rFonts w:hint="eastAsia" w:ascii="仿宋_GB2312" w:hAnsi="宋体" w:eastAsia="仿宋_GB2312"/>
          <w:sz w:val="24"/>
          <w:szCs w:val="24"/>
          <w:lang w:val="en-US" w:eastAsia="zh-CN"/>
        </w:rPr>
        <w:t xml:space="preserve"> 28285715</w:t>
      </w:r>
      <w:r>
        <w:rPr>
          <w:rFonts w:hint="eastAsia" w:ascii="仿宋_GB2312" w:hAnsi="宋体" w:eastAsia="仿宋_GB2312"/>
          <w:sz w:val="24"/>
          <w:szCs w:val="24"/>
        </w:rPr>
        <w:t xml:space="preserve">     </w:t>
      </w:r>
      <w:r>
        <w:rPr>
          <w:rFonts w:hint="eastAsia" w:ascii="仿宋_GB2312" w:hAnsi="宋体" w:eastAsia="仿宋_GB2312" w:cs="宋体"/>
          <w:color w:val="auto"/>
          <w:sz w:val="24"/>
          <w:szCs w:val="24"/>
        </w:rPr>
        <w:t xml:space="preserve">     </w:t>
      </w:r>
    </w:p>
    <w:p>
      <w:pPr>
        <w:pStyle w:val="84"/>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color w:val="auto"/>
          <w:sz w:val="24"/>
          <w:szCs w:val="24"/>
        </w:rPr>
        <w:t xml:space="preserve">    </w:t>
      </w:r>
      <w:r>
        <w:rPr>
          <w:rFonts w:hint="eastAsia" w:ascii="仿宋_GB2312" w:hAnsi="宋体" w:eastAsia="仿宋_GB2312"/>
          <w:color w:val="auto"/>
          <w:sz w:val="24"/>
          <w:szCs w:val="24"/>
        </w:rPr>
        <w:t>地 址：泉州市东海行政中心C栋</w:t>
      </w:r>
      <w:r>
        <w:rPr>
          <w:rFonts w:hint="eastAsia" w:ascii="仿宋_GB2312" w:hAnsi="宋体" w:eastAsia="仿宋_GB2312"/>
          <w:color w:val="auto"/>
          <w:sz w:val="24"/>
          <w:szCs w:val="24"/>
          <w:lang w:val="en-US" w:eastAsia="zh-CN"/>
        </w:rPr>
        <w:t>508</w:t>
      </w:r>
      <w:r>
        <w:rPr>
          <w:rFonts w:hint="eastAsia" w:ascii="仿宋_GB2312" w:hAnsi="宋体" w:eastAsia="仿宋_GB2312"/>
          <w:color w:val="auto"/>
          <w:sz w:val="24"/>
          <w:szCs w:val="24"/>
        </w:rPr>
        <w:t xml:space="preserve">       </w:t>
      </w:r>
      <w:r>
        <w:rPr>
          <w:rFonts w:hint="eastAsia" w:ascii="仿宋_GB2312" w:hAnsi="宋体" w:eastAsia="仿宋_GB2312"/>
          <w:color w:val="FF0000"/>
          <w:sz w:val="24"/>
          <w:szCs w:val="24"/>
        </w:rPr>
        <w:t xml:space="preserve">  </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招标代理机构：福建元丰招标有限公司</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地 址：福建元丰招标有限公司（地址：福建省泉州市区刺桐东路富康大厦201室）</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 xml:space="preserve">邮  编： 362000 </w:t>
      </w:r>
      <w:r>
        <w:rPr>
          <w:rFonts w:hint="eastAsia" w:ascii="仿宋_GB2312" w:hAnsi="宋体" w:eastAsia="仿宋_GB2312"/>
          <w:sz w:val="24"/>
          <w:szCs w:val="24"/>
        </w:rPr>
        <w:tab/>
      </w:r>
      <w:r>
        <w:rPr>
          <w:rFonts w:hint="eastAsia" w:ascii="仿宋_GB2312" w:hAnsi="宋体" w:eastAsia="仿宋_GB2312"/>
          <w:sz w:val="24"/>
          <w:szCs w:val="24"/>
        </w:rPr>
        <w:t xml:space="preserve">                   传  真：0595-28097500</w:t>
      </w:r>
    </w:p>
    <w:p>
      <w:pPr>
        <w:spacing w:line="400" w:lineRule="exact"/>
        <w:ind w:firstLine="960" w:firstLineChars="400"/>
        <w:rPr>
          <w:rFonts w:ascii="仿宋_GB2312" w:hAnsi="宋体" w:eastAsia="仿宋_GB2312"/>
          <w:sz w:val="24"/>
          <w:szCs w:val="24"/>
        </w:rPr>
      </w:pPr>
      <w:r>
        <w:rPr>
          <w:rFonts w:hint="eastAsia" w:ascii="仿宋_GB2312" w:hAnsi="宋体" w:eastAsia="仿宋_GB2312"/>
          <w:sz w:val="24"/>
          <w:szCs w:val="24"/>
        </w:rPr>
        <w:t>联系电话：杨先生   电  话：0595-</w:t>
      </w:r>
      <w:r>
        <w:rPr>
          <w:rFonts w:hint="eastAsia" w:ascii="仿宋_GB2312" w:hAnsi="宋体" w:eastAsia="仿宋_GB2312" w:cs="宋体"/>
          <w:kern w:val="0"/>
          <w:sz w:val="24"/>
          <w:szCs w:val="24"/>
        </w:rPr>
        <w:t xml:space="preserve">28096567   </w:t>
      </w:r>
      <w:r>
        <w:rPr>
          <w:rFonts w:hint="eastAsia" w:ascii="仿宋_GB2312" w:hAnsi="宋体" w:eastAsia="仿宋_GB2312"/>
          <w:sz w:val="24"/>
          <w:szCs w:val="24"/>
        </w:rPr>
        <w:t>电子信箱：fjyfzb</w:t>
      </w:r>
      <w:r>
        <w:fldChar w:fldCharType="begin"/>
      </w:r>
      <w:r>
        <w:instrText xml:space="preserve"> HYPERLINK "http://@163.com/" </w:instrText>
      </w:r>
      <w:r>
        <w:fldChar w:fldCharType="separate"/>
      </w:r>
      <w:r>
        <w:rPr>
          <w:rFonts w:hint="eastAsia" w:ascii="仿宋_GB2312" w:hAnsi="宋体" w:eastAsia="仿宋_GB2312"/>
          <w:sz w:val="24"/>
          <w:szCs w:val="24"/>
        </w:rPr>
        <w:t>@126.com</w:t>
      </w:r>
      <w:r>
        <w:rPr>
          <w:rFonts w:hint="eastAsia" w:ascii="仿宋_GB2312" w:hAnsi="宋体" w:eastAsia="仿宋_GB2312"/>
          <w:sz w:val="24"/>
          <w:szCs w:val="24"/>
        </w:rPr>
        <w:fldChar w:fldCharType="end"/>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sz w:val="24"/>
          <w:szCs w:val="24"/>
        </w:rPr>
        <w:t>保</w:t>
      </w:r>
      <w:r>
        <w:rPr>
          <w:rFonts w:hint="eastAsia" w:ascii="仿宋_GB2312" w:hAnsi="宋体" w:eastAsia="仿宋_GB2312" w:cs="宋体"/>
          <w:kern w:val="0"/>
          <w:sz w:val="24"/>
          <w:szCs w:val="24"/>
        </w:rPr>
        <w:t xml:space="preserve">证金确认：翁小姐                </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电  话：0595－28096567    </w:t>
      </w:r>
    </w:p>
    <w:p>
      <w:pPr>
        <w:spacing w:line="400" w:lineRule="exact"/>
        <w:ind w:firstLine="361" w:firstLineChars="150"/>
        <w:rPr>
          <w:rFonts w:ascii="仿宋_GB2312" w:hAnsi="宋体" w:eastAsia="仿宋_GB2312" w:cs="宋体"/>
          <w:b/>
          <w:kern w:val="0"/>
          <w:sz w:val="24"/>
          <w:szCs w:val="24"/>
        </w:rPr>
      </w:pPr>
      <w:r>
        <w:rPr>
          <w:rFonts w:hint="eastAsia" w:ascii="仿宋_GB2312" w:hAnsi="宋体" w:eastAsia="仿宋_GB2312" w:cs="宋体"/>
          <w:b/>
          <w:kern w:val="0"/>
          <w:sz w:val="24"/>
          <w:szCs w:val="24"/>
        </w:rPr>
        <w:t>13、缴纳投标保证金专用账户（由投标人从其基本账户以电汇或转帐方式足额将保证金汇入以下指定账户，并保证在提交投标文件的截止时间前到达。保证金转账单或电汇单上注明“FJYFCGZ</w:t>
      </w:r>
      <w:r>
        <w:rPr>
          <w:rFonts w:hint="eastAsia" w:ascii="仿宋_GB2312" w:hAnsi="宋体" w:eastAsia="仿宋_GB2312" w:cs="宋体"/>
          <w:b/>
          <w:kern w:val="0"/>
          <w:sz w:val="24"/>
          <w:szCs w:val="24"/>
          <w:lang w:eastAsia="zh-CN"/>
        </w:rPr>
        <w:t>2020</w:t>
      </w:r>
      <w:r>
        <w:rPr>
          <w:rFonts w:hint="eastAsia" w:ascii="仿宋_GB2312" w:hAnsi="宋体" w:eastAsia="仿宋_GB2312" w:cs="宋体"/>
          <w:b/>
          <w:kern w:val="0"/>
          <w:sz w:val="24"/>
          <w:szCs w:val="24"/>
          <w:lang w:val="en-US" w:eastAsia="zh-CN"/>
        </w:rPr>
        <w:t>07</w:t>
      </w:r>
      <w:r>
        <w:rPr>
          <w:rFonts w:hint="eastAsia" w:ascii="仿宋_GB2312" w:hAnsi="宋体" w:eastAsia="仿宋_GB2312" w:cs="宋体"/>
          <w:b/>
          <w:kern w:val="0"/>
          <w:sz w:val="24"/>
          <w:szCs w:val="24"/>
        </w:rPr>
        <w:t>，</w:t>
      </w:r>
      <w:r>
        <w:rPr>
          <w:rFonts w:hint="eastAsia" w:ascii="仿宋_GB2312" w:hAnsi="宋体" w:eastAsia="仿宋_GB2312" w:cs="宋体"/>
          <w:b/>
          <w:kern w:val="0"/>
          <w:sz w:val="24"/>
          <w:szCs w:val="24"/>
          <w:lang w:eastAsia="zh-CN"/>
        </w:rPr>
        <w:t>2020</w:t>
      </w:r>
      <w:r>
        <w:rPr>
          <w:rFonts w:hint="eastAsia" w:ascii="仿宋_GB2312" w:hAnsi="宋体" w:eastAsia="仿宋_GB2312" w:cs="宋体"/>
          <w:b/>
          <w:kern w:val="0"/>
          <w:sz w:val="24"/>
          <w:szCs w:val="24"/>
        </w:rPr>
        <w:t>年</w:t>
      </w:r>
      <w:r>
        <w:rPr>
          <w:rFonts w:hint="eastAsia" w:ascii="仿宋_GB2312" w:hAnsi="宋体" w:eastAsia="仿宋_GB2312" w:cs="宋体"/>
          <w:b/>
          <w:kern w:val="0"/>
          <w:sz w:val="24"/>
          <w:szCs w:val="24"/>
          <w:lang w:val="en-US" w:eastAsia="zh-CN"/>
        </w:rPr>
        <w:t xml:space="preserve"> 6 </w:t>
      </w:r>
      <w:r>
        <w:rPr>
          <w:rFonts w:hint="eastAsia" w:ascii="仿宋_GB2312" w:hAnsi="宋体" w:eastAsia="仿宋_GB2312" w:cs="宋体"/>
          <w:b/>
          <w:kern w:val="0"/>
          <w:sz w:val="24"/>
          <w:szCs w:val="24"/>
        </w:rPr>
        <w:t>月</w:t>
      </w:r>
      <w:r>
        <w:rPr>
          <w:rFonts w:hint="eastAsia" w:ascii="仿宋_GB2312" w:hAnsi="宋体" w:eastAsia="仿宋_GB2312" w:cs="宋体"/>
          <w:b/>
          <w:kern w:val="0"/>
          <w:sz w:val="24"/>
          <w:szCs w:val="24"/>
          <w:lang w:val="en-US" w:eastAsia="zh-CN"/>
        </w:rPr>
        <w:t xml:space="preserve"> 16</w:t>
      </w:r>
      <w:r>
        <w:rPr>
          <w:rFonts w:hint="eastAsia" w:ascii="仿宋_GB2312" w:hAnsi="宋体" w:eastAsia="仿宋_GB2312" w:cs="宋体"/>
          <w:b/>
          <w:kern w:val="0"/>
          <w:sz w:val="24"/>
          <w:szCs w:val="24"/>
        </w:rPr>
        <w:t>日下午17:00前汇款信息保密”。本公司将以开户银行提供的保证金到账时间为依据进行确认，保证金未按规定时间到账的不予确认，其投标文件将被拒绝）：</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开户行：中国建设银行股份有限公司泉州浦西支行</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帐  号：35050165425600000032</w:t>
      </w:r>
    </w:p>
    <w:p>
      <w:pPr>
        <w:spacing w:line="400" w:lineRule="exact"/>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收款人：福建元丰招标有限公司</w:t>
      </w:r>
    </w:p>
    <w:p>
      <w:pPr>
        <w:spacing w:line="400" w:lineRule="exact"/>
        <w:ind w:firstLine="960" w:firstLineChars="400"/>
        <w:rPr>
          <w:rFonts w:ascii="仿宋_GB2312" w:hAnsi="宋体" w:eastAsia="仿宋_GB2312" w:cs="宋体"/>
          <w:kern w:val="0"/>
          <w:sz w:val="24"/>
          <w:szCs w:val="24"/>
        </w:rPr>
      </w:pPr>
    </w:p>
    <w:p>
      <w:pPr>
        <w:spacing w:line="400" w:lineRule="exact"/>
        <w:ind w:firstLine="960" w:firstLineChars="400"/>
        <w:rPr>
          <w:rFonts w:ascii="仿宋_GB2312" w:hAnsi="宋体" w:eastAsia="仿宋_GB2312" w:cs="宋体"/>
          <w:kern w:val="0"/>
          <w:sz w:val="24"/>
          <w:szCs w:val="24"/>
        </w:rPr>
      </w:pPr>
    </w:p>
    <w:p>
      <w:pPr>
        <w:spacing w:line="400" w:lineRule="exact"/>
        <w:ind w:right="960"/>
        <w:jc w:val="center"/>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福建元丰招标有限公司</w:t>
      </w:r>
    </w:p>
    <w:p>
      <w:pPr>
        <w:spacing w:line="400" w:lineRule="exact"/>
        <w:ind w:firstLine="480" w:firstLineChars="200"/>
        <w:rPr>
          <w:rFonts w:ascii="仿宋_GB2312" w:hAnsi="宋体" w:eastAsia="仿宋_GB2312"/>
          <w:sz w:val="24"/>
          <w:szCs w:val="24"/>
          <w:highlight w:val="none"/>
        </w:rPr>
      </w:pPr>
      <w:r>
        <w:rPr>
          <w:rFonts w:hint="eastAsia" w:ascii="仿宋_GB2312" w:hAnsi="宋体" w:eastAsia="仿宋_GB2312"/>
          <w:sz w:val="24"/>
          <w:szCs w:val="24"/>
        </w:rPr>
        <w:t xml:space="preserve">                                              </w:t>
      </w:r>
      <w:r>
        <w:rPr>
          <w:rFonts w:hint="eastAsia" w:ascii="仿宋_GB2312" w:hAnsi="宋体" w:eastAsia="仿宋_GB2312"/>
          <w:sz w:val="24"/>
          <w:szCs w:val="24"/>
          <w:highlight w:val="none"/>
        </w:rPr>
        <w:t>二0</w:t>
      </w:r>
      <w:r>
        <w:rPr>
          <w:rFonts w:hint="eastAsia" w:ascii="仿宋_GB2312" w:hAnsi="宋体" w:eastAsia="仿宋_GB2312"/>
          <w:sz w:val="24"/>
          <w:szCs w:val="24"/>
          <w:highlight w:val="none"/>
          <w:lang w:eastAsia="zh-CN"/>
        </w:rPr>
        <w:t>二</w:t>
      </w:r>
      <w:r>
        <w:rPr>
          <w:rFonts w:hint="eastAsia" w:ascii="仿宋_GB2312" w:hAnsi="宋体" w:eastAsia="仿宋_GB2312"/>
          <w:sz w:val="24"/>
          <w:szCs w:val="24"/>
          <w:highlight w:val="none"/>
          <w:lang w:val="en-US" w:eastAsia="zh-CN"/>
        </w:rPr>
        <w:t>0</w:t>
      </w:r>
      <w:r>
        <w:rPr>
          <w:rFonts w:hint="eastAsia" w:ascii="仿宋_GB2312" w:hAnsi="宋体" w:eastAsia="仿宋_GB2312"/>
          <w:sz w:val="24"/>
          <w:szCs w:val="24"/>
          <w:highlight w:val="none"/>
        </w:rPr>
        <w:t>年</w:t>
      </w:r>
      <w:r>
        <w:rPr>
          <w:rFonts w:hint="eastAsia" w:ascii="仿宋_GB2312" w:hAnsi="宋体" w:eastAsia="仿宋_GB2312"/>
          <w:sz w:val="24"/>
          <w:szCs w:val="24"/>
          <w:highlight w:val="none"/>
          <w:lang w:val="en-US" w:eastAsia="zh-CN"/>
        </w:rPr>
        <w:t>五</w:t>
      </w:r>
      <w:r>
        <w:rPr>
          <w:rFonts w:hint="eastAsia" w:ascii="仿宋_GB2312" w:hAnsi="宋体" w:eastAsia="仿宋_GB2312"/>
          <w:sz w:val="24"/>
          <w:szCs w:val="24"/>
          <w:highlight w:val="none"/>
        </w:rPr>
        <w:t>月</w:t>
      </w:r>
      <w:r>
        <w:rPr>
          <w:rFonts w:hint="eastAsia" w:ascii="仿宋_GB2312" w:hAnsi="宋体" w:eastAsia="仿宋_GB2312"/>
          <w:sz w:val="24"/>
          <w:szCs w:val="24"/>
          <w:highlight w:val="none"/>
          <w:lang w:val="en-US" w:eastAsia="zh-CN"/>
        </w:rPr>
        <w:t>二十七</w:t>
      </w:r>
      <w:r>
        <w:rPr>
          <w:rFonts w:hint="eastAsia" w:ascii="仿宋_GB2312" w:hAnsi="宋体" w:eastAsia="仿宋_GB2312"/>
          <w:sz w:val="24"/>
          <w:szCs w:val="24"/>
          <w:highlight w:val="none"/>
        </w:rPr>
        <w:t>日</w:t>
      </w:r>
    </w:p>
    <w:p>
      <w:pPr>
        <w:widowControl/>
        <w:jc w:val="left"/>
        <w:rPr>
          <w:rFonts w:ascii="仿宋_GB2312" w:hAnsi="宋体" w:eastAsia="仿宋_GB2312"/>
          <w:sz w:val="24"/>
          <w:szCs w:val="24"/>
        </w:rPr>
      </w:pPr>
      <w:r>
        <w:rPr>
          <w:rFonts w:ascii="仿宋_GB2312" w:hAnsi="宋体" w:eastAsia="仿宋_GB2312"/>
          <w:sz w:val="24"/>
          <w:szCs w:val="24"/>
        </w:rPr>
        <w:br w:type="page"/>
      </w:r>
    </w:p>
    <w:p>
      <w:pPr>
        <w:autoSpaceDE w:val="0"/>
        <w:autoSpaceDN w:val="0"/>
        <w:adjustRightInd w:val="0"/>
        <w:spacing w:line="340" w:lineRule="exact"/>
        <w:jc w:val="center"/>
        <w:outlineLvl w:val="1"/>
        <w:rPr>
          <w:rFonts w:ascii="仿宋_GB2312" w:hAnsi="宋体" w:eastAsia="仿宋_GB2312" w:cs="宋体"/>
          <w:b/>
          <w:sz w:val="32"/>
          <w:szCs w:val="32"/>
        </w:rPr>
      </w:pPr>
      <w:bookmarkStart w:id="7" w:name="_Toc377051019"/>
      <w:bookmarkStart w:id="8" w:name="_Toc421861316"/>
      <w:r>
        <w:rPr>
          <w:rFonts w:hint="eastAsia" w:ascii="仿宋_GB2312" w:hAnsi="宋体" w:eastAsia="仿宋_GB2312" w:cs="宋体"/>
          <w:b/>
          <w:sz w:val="32"/>
          <w:szCs w:val="32"/>
        </w:rPr>
        <w:t>二、招标服务一览表</w:t>
      </w:r>
      <w:bookmarkEnd w:id="7"/>
      <w:bookmarkEnd w:id="8"/>
    </w:p>
    <w:p>
      <w:pPr>
        <w:pStyle w:val="5"/>
        <w:rPr>
          <w:sz w:val="28"/>
          <w:szCs w:val="28"/>
        </w:rPr>
      </w:pPr>
    </w:p>
    <w:tbl>
      <w:tblPr>
        <w:tblStyle w:val="27"/>
        <w:tblpPr w:leftFromText="180" w:rightFromText="180" w:vertAnchor="text" w:horzAnchor="margin" w:tblpY="75"/>
        <w:tblOverlap w:val="never"/>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638"/>
        <w:gridCol w:w="3396"/>
        <w:gridCol w:w="575"/>
        <w:gridCol w:w="575"/>
        <w:gridCol w:w="213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637"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合同号</w:t>
            </w:r>
          </w:p>
        </w:tc>
        <w:tc>
          <w:tcPr>
            <w:tcW w:w="638"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品目号</w:t>
            </w:r>
          </w:p>
        </w:tc>
        <w:tc>
          <w:tcPr>
            <w:tcW w:w="3396"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项目名称</w:t>
            </w:r>
          </w:p>
        </w:tc>
        <w:tc>
          <w:tcPr>
            <w:tcW w:w="575"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数量</w:t>
            </w:r>
          </w:p>
        </w:tc>
        <w:tc>
          <w:tcPr>
            <w:tcW w:w="575"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单位</w:t>
            </w:r>
          </w:p>
        </w:tc>
        <w:tc>
          <w:tcPr>
            <w:tcW w:w="2137"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技术规格与要求</w:t>
            </w:r>
          </w:p>
        </w:tc>
        <w:tc>
          <w:tcPr>
            <w:tcW w:w="1263"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1" w:hRule="atLeast"/>
        </w:trPr>
        <w:tc>
          <w:tcPr>
            <w:tcW w:w="637"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一</w:t>
            </w:r>
          </w:p>
        </w:tc>
        <w:tc>
          <w:tcPr>
            <w:tcW w:w="638"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1</w:t>
            </w:r>
          </w:p>
        </w:tc>
        <w:tc>
          <w:tcPr>
            <w:tcW w:w="3396" w:type="dxa"/>
            <w:vAlign w:val="center"/>
          </w:tcPr>
          <w:p>
            <w:pPr>
              <w:autoSpaceDE w:val="0"/>
              <w:autoSpaceDN w:val="0"/>
              <w:adjustRightInd w:val="0"/>
              <w:spacing w:line="340" w:lineRule="exact"/>
              <w:jc w:val="center"/>
              <w:outlineLvl w:val="1"/>
              <w:rPr>
                <w:rFonts w:hint="eastAsia" w:ascii="仿宋_GB2312" w:hAnsi="宋体" w:eastAsia="仿宋_GB2312"/>
                <w:b/>
                <w:bCs/>
                <w:color w:val="auto"/>
                <w:sz w:val="24"/>
                <w:szCs w:val="24"/>
                <w:u w:val="none"/>
                <w:lang w:eastAsia="zh-CN"/>
              </w:rPr>
            </w:pPr>
            <w:r>
              <w:rPr>
                <w:rFonts w:hint="eastAsia" w:ascii="仿宋_GB2312" w:hAnsi="宋体" w:eastAsia="仿宋_GB2312"/>
                <w:sz w:val="24"/>
                <w:szCs w:val="24"/>
              </w:rPr>
              <w:t xml:space="preserve"> </w:t>
            </w:r>
            <w:r>
              <w:rPr>
                <w:rFonts w:hint="eastAsia" w:ascii="仿宋_GB2312" w:hAnsi="宋体" w:eastAsia="仿宋_GB2312"/>
                <w:b/>
                <w:bCs/>
                <w:color w:val="auto"/>
                <w:sz w:val="24"/>
                <w:szCs w:val="24"/>
                <w:u w:val="none"/>
                <w:lang w:eastAsia="zh-CN"/>
              </w:rPr>
              <w:t>泉州市应急管理局</w:t>
            </w:r>
            <w:r>
              <w:rPr>
                <w:rFonts w:hint="eastAsia" w:ascii="仿宋_GB2312" w:hAnsi="宋体" w:eastAsia="仿宋_GB2312"/>
                <w:b/>
                <w:bCs/>
                <w:color w:val="auto"/>
                <w:sz w:val="24"/>
                <w:szCs w:val="24"/>
                <w:u w:val="none"/>
              </w:rPr>
              <w:t>市级</w:t>
            </w:r>
            <w:r>
              <w:rPr>
                <w:rFonts w:hint="eastAsia" w:ascii="仿宋_GB2312" w:hAnsi="宋体" w:eastAsia="仿宋_GB2312"/>
                <w:b/>
                <w:bCs/>
                <w:color w:val="auto"/>
                <w:sz w:val="24"/>
                <w:szCs w:val="24"/>
                <w:u w:val="none"/>
                <w:lang w:eastAsia="zh-CN"/>
              </w:rPr>
              <w:t>救灾</w:t>
            </w:r>
          </w:p>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b/>
                <w:bCs/>
                <w:color w:val="auto"/>
                <w:sz w:val="24"/>
                <w:szCs w:val="24"/>
                <w:u w:val="none"/>
                <w:lang w:eastAsia="zh-CN"/>
              </w:rPr>
              <w:t>预备金</w:t>
            </w:r>
            <w:r>
              <w:rPr>
                <w:rFonts w:hint="eastAsia" w:ascii="仿宋_GB2312" w:hAnsi="宋体" w:eastAsia="仿宋_GB2312"/>
                <w:b/>
                <w:bCs/>
                <w:color w:val="auto"/>
                <w:sz w:val="24"/>
                <w:szCs w:val="24"/>
                <w:u w:val="none"/>
              </w:rPr>
              <w:t>存放银行招标项目</w:t>
            </w:r>
          </w:p>
        </w:tc>
        <w:tc>
          <w:tcPr>
            <w:tcW w:w="575" w:type="dxa"/>
            <w:tcMar>
              <w:top w:w="15" w:type="dxa"/>
              <w:left w:w="15" w:type="dxa"/>
              <w:bottom w:w="0" w:type="dxa"/>
              <w:right w:w="15" w:type="dxa"/>
            </w:tcMar>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1</w:t>
            </w:r>
          </w:p>
        </w:tc>
        <w:tc>
          <w:tcPr>
            <w:tcW w:w="575"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项</w:t>
            </w:r>
          </w:p>
        </w:tc>
        <w:tc>
          <w:tcPr>
            <w:tcW w:w="2137"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r>
              <w:rPr>
                <w:rFonts w:hint="eastAsia" w:ascii="仿宋_GB2312" w:hAnsi="宋体" w:eastAsia="仿宋_GB2312" w:cs="宋体"/>
                <w:b/>
                <w:sz w:val="24"/>
                <w:szCs w:val="24"/>
              </w:rPr>
              <w:t>详见第二部分《招标内容及要求》</w:t>
            </w:r>
          </w:p>
        </w:tc>
        <w:tc>
          <w:tcPr>
            <w:tcW w:w="1263" w:type="dxa"/>
            <w:vAlign w:val="center"/>
          </w:tcPr>
          <w:p>
            <w:pPr>
              <w:autoSpaceDE w:val="0"/>
              <w:autoSpaceDN w:val="0"/>
              <w:adjustRightInd w:val="0"/>
              <w:spacing w:line="340" w:lineRule="exact"/>
              <w:jc w:val="center"/>
              <w:outlineLvl w:val="1"/>
              <w:rPr>
                <w:rFonts w:ascii="仿宋_GB2312" w:hAnsi="宋体" w:eastAsia="仿宋_GB2312" w:cs="宋体"/>
                <w:b/>
                <w:sz w:val="24"/>
                <w:szCs w:val="24"/>
              </w:rPr>
            </w:pPr>
          </w:p>
        </w:tc>
      </w:tr>
    </w:tbl>
    <w:p>
      <w:pPr>
        <w:autoSpaceDE w:val="0"/>
        <w:autoSpaceDN w:val="0"/>
        <w:adjustRightInd w:val="0"/>
        <w:spacing w:line="340" w:lineRule="exact"/>
        <w:jc w:val="center"/>
        <w:outlineLvl w:val="1"/>
        <w:rPr>
          <w:rFonts w:ascii="仿宋_GB2312" w:hAnsi="宋体" w:eastAsia="仿宋_GB2312" w:cs="宋体"/>
          <w:b/>
          <w:sz w:val="32"/>
          <w:szCs w:val="32"/>
        </w:rPr>
      </w:pPr>
    </w:p>
    <w:p>
      <w:pPr>
        <w:pStyle w:val="16"/>
        <w:tabs>
          <w:tab w:val="left" w:pos="2940"/>
        </w:tabs>
        <w:spacing w:line="0" w:lineRule="atLeast"/>
        <w:jc w:val="left"/>
        <w:rPr>
          <w:rFonts w:ascii="仿宋_GB2312" w:hAnsi="宋体" w:eastAsia="仿宋_GB2312"/>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p>
    <w:p>
      <w:pPr>
        <w:autoSpaceDE w:val="0"/>
        <w:autoSpaceDN w:val="0"/>
        <w:adjustRightInd w:val="0"/>
        <w:spacing w:line="360" w:lineRule="exact"/>
        <w:rPr>
          <w:rFonts w:ascii="仿宋_GB2312" w:hAnsi="宋体" w:eastAsia="仿宋_GB2312"/>
          <w:sz w:val="24"/>
          <w:szCs w:val="24"/>
        </w:rPr>
      </w:pPr>
      <w:r>
        <w:rPr>
          <w:rFonts w:hint="eastAsia" w:ascii="仿宋_GB2312" w:hAnsi="宋体" w:eastAsia="仿宋_GB2312"/>
          <w:sz w:val="24"/>
          <w:szCs w:val="24"/>
        </w:rPr>
        <w:t xml:space="preserve">注： </w:t>
      </w:r>
    </w:p>
    <w:p>
      <w:pPr>
        <w:autoSpaceDE w:val="0"/>
        <w:autoSpaceDN w:val="0"/>
        <w:adjustRightInd w:val="0"/>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1、本次招标为1个合同包，投标人对同一合同包内所有品目号内容投标时必须完整。评标与授标以合同包为单位。</w:t>
      </w:r>
    </w:p>
    <w:p>
      <w:pPr>
        <w:autoSpaceDE w:val="0"/>
        <w:autoSpaceDN w:val="0"/>
        <w:adjustRightInd w:val="0"/>
        <w:spacing w:line="400" w:lineRule="exact"/>
        <w:ind w:firstLine="480" w:firstLineChars="200"/>
        <w:rPr>
          <w:rFonts w:ascii="仿宋_GB2312" w:hAnsi="宋体" w:eastAsia="仿宋_GB2312"/>
          <w:sz w:val="24"/>
          <w:szCs w:val="24"/>
        </w:rPr>
      </w:pPr>
      <w:r>
        <w:rPr>
          <w:rFonts w:hint="eastAsia" w:ascii="仿宋_GB2312" w:hAnsi="宋体" w:eastAsia="仿宋_GB2312"/>
          <w:sz w:val="24"/>
          <w:szCs w:val="24"/>
        </w:rPr>
        <w:t>2、合同期限：3年。</w:t>
      </w:r>
    </w:p>
    <w:p>
      <w:pPr>
        <w:autoSpaceDE w:val="0"/>
        <w:autoSpaceDN w:val="0"/>
        <w:adjustRightInd w:val="0"/>
        <w:spacing w:line="400" w:lineRule="exact"/>
        <w:ind w:firstLine="480" w:firstLineChars="200"/>
        <w:rPr>
          <w:rFonts w:hint="eastAsia" w:ascii="仿宋_GB2312" w:hAnsi="宋体" w:eastAsia="仿宋_GB2312"/>
          <w:color w:val="auto"/>
          <w:sz w:val="24"/>
          <w:szCs w:val="24"/>
        </w:rPr>
      </w:pPr>
      <w:r>
        <w:rPr>
          <w:rFonts w:hint="eastAsia" w:ascii="仿宋_GB2312" w:hAnsi="宋体" w:eastAsia="仿宋_GB2312"/>
          <w:color w:val="auto"/>
          <w:sz w:val="24"/>
          <w:szCs w:val="24"/>
        </w:rPr>
        <w:t>3、本项目不允许转包、分包，若发现，招标人有权终止合同。</w:t>
      </w:r>
    </w:p>
    <w:p>
      <w:pPr>
        <w:autoSpaceDE w:val="0"/>
        <w:autoSpaceDN w:val="0"/>
        <w:adjustRightInd w:val="0"/>
        <w:spacing w:line="400" w:lineRule="exact"/>
        <w:ind w:firstLine="480" w:firstLineChars="200"/>
        <w:rPr>
          <w:rFonts w:hint="eastAsia" w:ascii="仿宋_GB2312" w:hAnsi="宋体" w:eastAsia="仿宋_GB2312"/>
          <w:sz w:val="24"/>
          <w:szCs w:val="24"/>
        </w:rPr>
      </w:pPr>
    </w:p>
    <w:p>
      <w:pPr>
        <w:spacing w:line="500" w:lineRule="exact"/>
        <w:jc w:val="both"/>
        <w:rPr>
          <w:rFonts w:hint="default" w:ascii="仿宋_GB2312" w:hAnsi="宋体" w:eastAsia="仿宋_GB2312" w:cs="宋体"/>
          <w:b/>
          <w:sz w:val="24"/>
          <w:szCs w:val="24"/>
          <w:u w:val="single"/>
          <w:lang w:val="en-US" w:eastAsia="zh-CN"/>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rPr>
          <w:rFonts w:ascii="仿宋_GB2312" w:hAnsi="宋体" w:eastAsia="仿宋_GB2312" w:cs="宋体"/>
          <w:b/>
          <w:sz w:val="24"/>
          <w:szCs w:val="24"/>
          <w:u w:val="single"/>
        </w:rPr>
      </w:pPr>
    </w:p>
    <w:p>
      <w:pPr>
        <w:spacing w:line="500" w:lineRule="exact"/>
        <w:jc w:val="center"/>
        <w:rPr>
          <w:rFonts w:ascii="仿宋_GB2312" w:hAnsi="宋体" w:eastAsia="仿宋_GB2312" w:cs="宋体"/>
          <w:b/>
          <w:sz w:val="24"/>
          <w:szCs w:val="24"/>
          <w:u w:val="single"/>
        </w:rPr>
      </w:pPr>
    </w:p>
    <w:p>
      <w:pPr>
        <w:spacing w:line="440" w:lineRule="atLeast"/>
        <w:jc w:val="center"/>
        <w:outlineLvl w:val="0"/>
        <w:rPr>
          <w:rFonts w:ascii="仿宋_GB2312" w:hAnsi="宋体" w:eastAsia="仿宋_GB2312" w:cs="宋体"/>
          <w:b/>
          <w:sz w:val="24"/>
          <w:szCs w:val="24"/>
          <w:u w:val="single"/>
        </w:rPr>
      </w:pPr>
      <w:bookmarkStart w:id="9" w:name="_Toc377051020"/>
      <w:bookmarkStart w:id="10" w:name="_Toc421861317"/>
    </w:p>
    <w:p>
      <w:pPr>
        <w:spacing w:line="440" w:lineRule="atLeast"/>
        <w:jc w:val="center"/>
        <w:outlineLvl w:val="0"/>
        <w:rPr>
          <w:rFonts w:ascii="仿宋_GB2312" w:hAnsi="宋体" w:eastAsia="仿宋_GB2312" w:cs="宋体"/>
          <w:b/>
          <w:sz w:val="52"/>
          <w:szCs w:val="52"/>
        </w:rPr>
      </w:pPr>
      <w:r>
        <w:rPr>
          <w:rFonts w:hint="eastAsia" w:ascii="仿宋_GB2312" w:hAnsi="宋体" w:eastAsia="仿宋_GB2312" w:cs="宋体"/>
          <w:b/>
          <w:sz w:val="52"/>
          <w:szCs w:val="52"/>
        </w:rPr>
        <w:t>第二部分  招标内容及要求</w:t>
      </w:r>
      <w:bookmarkEnd w:id="9"/>
      <w:bookmarkEnd w:id="10"/>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spacing w:line="500" w:lineRule="exact"/>
        <w:jc w:val="center"/>
        <w:rPr>
          <w:rFonts w:ascii="仿宋_GB2312" w:hAnsi="宋体" w:eastAsia="仿宋_GB2312" w:cs="宋体"/>
          <w:b/>
          <w:sz w:val="24"/>
          <w:szCs w:val="24"/>
        </w:rPr>
      </w:pPr>
    </w:p>
    <w:p>
      <w:pPr>
        <w:widowControl/>
        <w:jc w:val="left"/>
        <w:rPr>
          <w:rFonts w:ascii="仿宋_GB2312" w:hAnsi="宋体" w:eastAsia="仿宋_GB2312" w:cs="宋体"/>
          <w:b/>
          <w:sz w:val="24"/>
          <w:szCs w:val="24"/>
        </w:rPr>
      </w:pPr>
      <w:r>
        <w:rPr>
          <w:rFonts w:ascii="仿宋_GB2312" w:hAnsi="宋体" w:eastAsia="仿宋_GB2312" w:cs="宋体"/>
          <w:b/>
          <w:sz w:val="24"/>
          <w:szCs w:val="24"/>
        </w:rPr>
        <w:br w:type="page"/>
      </w:r>
    </w:p>
    <w:p>
      <w:pPr>
        <w:spacing w:line="440" w:lineRule="exact"/>
        <w:jc w:val="center"/>
        <w:outlineLvl w:val="1"/>
        <w:rPr>
          <w:rFonts w:ascii="仿宋_GB2312" w:hAnsi="宋体" w:eastAsia="仿宋_GB2312" w:cs="宋体"/>
          <w:b/>
          <w:sz w:val="32"/>
          <w:szCs w:val="32"/>
        </w:rPr>
      </w:pPr>
      <w:bookmarkStart w:id="11" w:name="_Toc377051021"/>
      <w:bookmarkStart w:id="12" w:name="_Toc421861318"/>
      <w:r>
        <w:rPr>
          <w:rFonts w:hint="eastAsia" w:ascii="仿宋_GB2312" w:hAnsi="宋体" w:eastAsia="仿宋_GB2312" w:cs="宋体"/>
          <w:b/>
          <w:sz w:val="32"/>
          <w:szCs w:val="32"/>
        </w:rPr>
        <w:t>第</w:t>
      </w:r>
      <w:r>
        <w:rPr>
          <w:rFonts w:hint="eastAsia" w:ascii="仿宋_GB2312" w:hAnsi="宋体" w:eastAsia="仿宋_GB2312" w:cs="宋体"/>
          <w:b/>
          <w:sz w:val="32"/>
          <w:szCs w:val="32"/>
          <w:lang w:eastAsia="zh-CN"/>
        </w:rPr>
        <w:t>一节</w:t>
      </w:r>
      <w:r>
        <w:rPr>
          <w:rFonts w:hint="eastAsia" w:ascii="仿宋_GB2312" w:hAnsi="宋体" w:eastAsia="仿宋_GB2312" w:cs="宋体"/>
          <w:b/>
          <w:sz w:val="32"/>
          <w:szCs w:val="32"/>
        </w:rPr>
        <w:t xml:space="preserve"> 招标内容及要求</w:t>
      </w:r>
      <w:bookmarkEnd w:id="11"/>
      <w:bookmarkEnd w:id="12"/>
    </w:p>
    <w:p>
      <w:pPr>
        <w:rPr>
          <w:rFonts w:ascii="仿宋_GB2312" w:hAnsi="宋体" w:eastAsia="仿宋_GB2312" w:cs="宋体"/>
          <w:b/>
          <w:bCs/>
          <w:kern w:val="0"/>
          <w:sz w:val="22"/>
          <w:szCs w:val="22"/>
        </w:rPr>
      </w:pPr>
      <w:bookmarkStart w:id="13" w:name="_Toc398204437"/>
    </w:p>
    <w:p>
      <w:pPr>
        <w:spacing w:line="440" w:lineRule="exact"/>
        <w:outlineLvl w:val="1"/>
        <w:rPr>
          <w:rFonts w:ascii="仿宋_GB2312" w:hAnsi="宋体" w:eastAsia="仿宋_GB2312" w:cs="宋体"/>
          <w:b/>
          <w:sz w:val="28"/>
          <w:szCs w:val="28"/>
        </w:rPr>
      </w:pPr>
      <w:bookmarkStart w:id="14" w:name="_Toc135212467"/>
      <w:bookmarkStart w:id="15" w:name="_Toc33335632"/>
      <w:r>
        <w:rPr>
          <w:rFonts w:hint="eastAsia" w:ascii="仿宋_GB2312" w:hAnsi="宋体" w:eastAsia="仿宋_GB2312" w:cs="宋体"/>
          <w:b/>
          <w:sz w:val="28"/>
          <w:szCs w:val="28"/>
        </w:rPr>
        <w:t>一、概况</w:t>
      </w:r>
    </w:p>
    <w:p>
      <w:pPr>
        <w:spacing w:line="400" w:lineRule="exact"/>
        <w:rPr>
          <w:rFonts w:ascii="仿宋_GB2312" w:hAnsi="宋体" w:eastAsia="仿宋_GB2312"/>
          <w:sz w:val="24"/>
          <w:szCs w:val="24"/>
        </w:rPr>
      </w:pPr>
      <w:r>
        <w:rPr>
          <w:rFonts w:hint="eastAsia" w:ascii="仿宋_GB2312" w:hAnsi="宋体" w:eastAsia="仿宋_GB2312"/>
          <w:sz w:val="24"/>
          <w:szCs w:val="24"/>
        </w:rPr>
        <w:t xml:space="preserve">   根据《福建省财政厅关于进一步加强财政部门和预算单位资金存放管理的实施意见》（闽财库</w:t>
      </w:r>
      <w:r>
        <w:rPr>
          <w:rFonts w:hint="eastAsia" w:ascii="仿宋_GB2312" w:hAnsi="仿宋_GB2312" w:eastAsia="仿宋_GB2312" w:cs="仿宋_GB2312"/>
          <w:sz w:val="24"/>
          <w:szCs w:val="24"/>
        </w:rPr>
        <w:t>〔</w:t>
      </w:r>
      <w:r>
        <w:rPr>
          <w:rFonts w:hint="eastAsia" w:ascii="仿宋_GB2312" w:hAnsi="宋体" w:eastAsia="仿宋_GB2312"/>
          <w:sz w:val="24"/>
          <w:szCs w:val="24"/>
        </w:rPr>
        <w:t>2017</w:t>
      </w:r>
      <w:r>
        <w:rPr>
          <w:rFonts w:hint="eastAsia" w:ascii="仿宋_GB2312" w:hAnsi="仿宋_GB2312" w:eastAsia="仿宋_GB2312" w:cs="仿宋_GB2312"/>
          <w:sz w:val="24"/>
          <w:szCs w:val="24"/>
        </w:rPr>
        <w:t>〕</w:t>
      </w:r>
      <w:r>
        <w:rPr>
          <w:rFonts w:hint="eastAsia" w:ascii="仿宋_GB2312" w:hAnsi="宋体" w:eastAsia="仿宋_GB2312"/>
          <w:sz w:val="24"/>
          <w:szCs w:val="24"/>
        </w:rPr>
        <w:t>24号）、《泉州市财政局关于</w:t>
      </w:r>
      <w:r>
        <w:rPr>
          <w:rFonts w:hint="eastAsia" w:ascii="仿宋_GB2312" w:hAnsi="宋体" w:eastAsia="仿宋_GB2312"/>
          <w:sz w:val="24"/>
          <w:szCs w:val="24"/>
          <w:lang w:eastAsia="zh-CN"/>
        </w:rPr>
        <w:t>进一步加强财政部门和预算单位资金存放管理</w:t>
      </w:r>
      <w:r>
        <w:rPr>
          <w:rFonts w:hint="eastAsia" w:ascii="仿宋_GB2312" w:hAnsi="宋体" w:eastAsia="仿宋_GB2312"/>
          <w:sz w:val="24"/>
          <w:szCs w:val="24"/>
        </w:rPr>
        <w:t>的通知》（泉财库</w:t>
      </w:r>
      <w:r>
        <w:rPr>
          <w:rFonts w:hint="eastAsia" w:ascii="仿宋_GB2312" w:hAnsi="仿宋_GB2312" w:eastAsia="仿宋_GB2312" w:cs="仿宋_GB2312"/>
          <w:sz w:val="24"/>
          <w:szCs w:val="24"/>
        </w:rPr>
        <w:t>〔</w:t>
      </w:r>
      <w:r>
        <w:rPr>
          <w:rFonts w:hint="eastAsia" w:ascii="仿宋_GB2312" w:hAnsi="宋体" w:eastAsia="仿宋_GB2312"/>
          <w:sz w:val="24"/>
          <w:szCs w:val="24"/>
        </w:rPr>
        <w:t>2017</w:t>
      </w:r>
      <w:r>
        <w:rPr>
          <w:rFonts w:hint="eastAsia" w:ascii="仿宋_GB2312" w:hAnsi="仿宋_GB2312" w:eastAsia="仿宋_GB2312" w:cs="仿宋_GB2312"/>
          <w:sz w:val="24"/>
          <w:szCs w:val="24"/>
        </w:rPr>
        <w:t>〕</w:t>
      </w:r>
      <w:r>
        <w:rPr>
          <w:rFonts w:hint="eastAsia" w:ascii="仿宋_GB2312" w:hAnsi="宋体" w:eastAsia="仿宋_GB2312"/>
          <w:sz w:val="24"/>
          <w:szCs w:val="24"/>
          <w:lang w:val="en-US" w:eastAsia="zh-CN"/>
        </w:rPr>
        <w:t>700</w:t>
      </w:r>
      <w:r>
        <w:rPr>
          <w:rFonts w:hint="eastAsia" w:ascii="仿宋_GB2312" w:hAnsi="宋体" w:eastAsia="仿宋_GB2312"/>
          <w:sz w:val="24"/>
          <w:szCs w:val="24"/>
        </w:rPr>
        <w:t>号），为确保</w:t>
      </w:r>
      <w:r>
        <w:rPr>
          <w:rFonts w:hint="eastAsia" w:ascii="仿宋_GB2312" w:hAnsi="宋体" w:eastAsia="仿宋_GB2312"/>
          <w:sz w:val="24"/>
          <w:szCs w:val="24"/>
          <w:lang w:eastAsia="zh-CN"/>
        </w:rPr>
        <w:t>市级救灾预备金</w:t>
      </w:r>
      <w:r>
        <w:rPr>
          <w:rFonts w:hint="eastAsia" w:ascii="仿宋_GB2312" w:hAnsi="宋体" w:eastAsia="仿宋_GB2312"/>
          <w:sz w:val="24"/>
          <w:szCs w:val="24"/>
        </w:rPr>
        <w:t>存放银行招标工作顺利开展，制定以下招标方案。</w:t>
      </w:r>
    </w:p>
    <w:p>
      <w:pPr>
        <w:spacing w:line="400" w:lineRule="exact"/>
        <w:ind w:firstLine="480" w:firstLineChars="200"/>
        <w:rPr>
          <w:rFonts w:hint="eastAsia" w:ascii="仿宋_GB2312" w:hAnsi="宋体" w:eastAsia="仿宋_GB2312"/>
          <w:sz w:val="24"/>
          <w:szCs w:val="24"/>
          <w:lang w:eastAsia="zh-CN"/>
        </w:rPr>
      </w:pP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rPr>
        <w:t>市级</w:t>
      </w:r>
      <w:r>
        <w:rPr>
          <w:rFonts w:hint="eastAsia" w:ascii="仿宋_GB2312" w:hAnsi="宋体" w:eastAsia="仿宋_GB2312"/>
          <w:sz w:val="24"/>
          <w:szCs w:val="24"/>
          <w:lang w:eastAsia="zh-CN"/>
        </w:rPr>
        <w:t>救灾预备金</w:t>
      </w:r>
      <w:r>
        <w:rPr>
          <w:rFonts w:hint="eastAsia" w:ascii="仿宋_GB2312" w:hAnsi="宋体" w:eastAsia="仿宋_GB2312"/>
          <w:sz w:val="24"/>
          <w:szCs w:val="24"/>
        </w:rPr>
        <w:t>存放银行招标</w:t>
      </w:r>
      <w:r>
        <w:rPr>
          <w:rFonts w:hint="eastAsia" w:ascii="仿宋_GB2312" w:hAnsi="宋体" w:eastAsia="仿宋_GB2312"/>
          <w:sz w:val="24"/>
          <w:szCs w:val="24"/>
          <w:highlight w:val="none"/>
        </w:rPr>
        <w:t>项目</w:t>
      </w:r>
      <w:r>
        <w:rPr>
          <w:rFonts w:hint="eastAsia" w:ascii="仿宋_GB2312" w:hAnsi="宋体" w:eastAsia="仿宋_GB2312"/>
          <w:sz w:val="24"/>
          <w:szCs w:val="24"/>
        </w:rPr>
        <w:t>，存款为三年</w:t>
      </w:r>
      <w:r>
        <w:rPr>
          <w:rFonts w:hint="eastAsia" w:ascii="仿宋_GB2312" w:hAnsi="宋体" w:eastAsia="仿宋_GB2312"/>
          <w:color w:val="000000" w:themeColor="text1"/>
          <w:sz w:val="24"/>
          <w:szCs w:val="24"/>
          <w:lang w:eastAsia="zh-CN"/>
          <w14:textFill>
            <w14:solidFill>
              <w14:schemeClr w14:val="tx1"/>
            </w14:solidFill>
          </w14:textFill>
        </w:rPr>
        <w:t>定期</w:t>
      </w:r>
      <w:r>
        <w:rPr>
          <w:rFonts w:hint="eastAsia" w:ascii="仿宋_GB2312" w:hAnsi="宋体" w:eastAsia="仿宋_GB2312"/>
          <w:color w:val="000000" w:themeColor="text1"/>
          <w:sz w:val="24"/>
          <w:szCs w:val="24"/>
          <w14:textFill>
            <w14:solidFill>
              <w14:schemeClr w14:val="tx1"/>
            </w14:solidFill>
          </w14:textFill>
        </w:rPr>
        <w:t>存款，</w:t>
      </w:r>
      <w:r>
        <w:rPr>
          <w:rFonts w:hint="eastAsia" w:ascii="仿宋_GB2312" w:hAnsi="宋体" w:eastAsia="仿宋_GB2312"/>
          <w:sz w:val="24"/>
          <w:szCs w:val="24"/>
        </w:rPr>
        <w:t>中标银行</w:t>
      </w:r>
      <w:r>
        <w:rPr>
          <w:rFonts w:hint="eastAsia" w:ascii="仿宋_GB2312" w:hAnsi="宋体" w:eastAsia="仿宋_GB2312"/>
          <w:sz w:val="24"/>
          <w:szCs w:val="24"/>
          <w:lang w:eastAsia="zh-CN"/>
        </w:rPr>
        <w:t>为</w:t>
      </w:r>
      <w:r>
        <w:rPr>
          <w:rFonts w:hint="eastAsia" w:ascii="仿宋_GB2312" w:hAnsi="宋体" w:eastAsia="仿宋_GB2312"/>
          <w:sz w:val="24"/>
          <w:szCs w:val="24"/>
          <w:lang w:val="en-US" w:eastAsia="zh-CN"/>
        </w:rPr>
        <w:t>1</w:t>
      </w:r>
      <w:r>
        <w:rPr>
          <w:rFonts w:hint="eastAsia" w:ascii="仿宋_GB2312" w:hAnsi="宋体" w:eastAsia="仿宋_GB2312"/>
          <w:sz w:val="24"/>
          <w:szCs w:val="24"/>
        </w:rPr>
        <w:t>家，评分方式采用综合评分法进行评分，选择得分</w:t>
      </w:r>
      <w:r>
        <w:rPr>
          <w:rFonts w:hint="eastAsia" w:ascii="仿宋_GB2312" w:hAnsi="宋体" w:eastAsia="仿宋_GB2312"/>
          <w:sz w:val="24"/>
          <w:szCs w:val="24"/>
          <w:lang w:eastAsia="zh-CN"/>
        </w:rPr>
        <w:t>最高的</w:t>
      </w:r>
      <w:r>
        <w:rPr>
          <w:rFonts w:hint="eastAsia" w:ascii="仿宋_GB2312" w:hAnsi="宋体" w:eastAsia="仿宋_GB2312"/>
          <w:sz w:val="24"/>
          <w:szCs w:val="24"/>
        </w:rPr>
        <w:t>金融机构为存放银行</w:t>
      </w:r>
      <w:r>
        <w:rPr>
          <w:rFonts w:hint="eastAsia" w:ascii="仿宋_GB2312" w:hAnsi="宋体" w:eastAsia="仿宋_GB2312"/>
          <w:sz w:val="24"/>
          <w:szCs w:val="24"/>
          <w:lang w:eastAsia="zh-CN"/>
        </w:rPr>
        <w:t>。</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二、</w:t>
      </w:r>
      <w:bookmarkEnd w:id="14"/>
      <w:bookmarkEnd w:id="15"/>
      <w:r>
        <w:rPr>
          <w:rFonts w:hint="eastAsia" w:ascii="仿宋_GB2312" w:hAnsi="宋体" w:eastAsia="仿宋_GB2312" w:cs="宋体"/>
          <w:b/>
          <w:sz w:val="28"/>
          <w:szCs w:val="28"/>
        </w:rPr>
        <w:t>服务要求</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1、</w:t>
      </w:r>
      <w:r>
        <w:rPr>
          <w:rFonts w:hint="eastAsia" w:ascii="仿宋_GB2312" w:hAnsi="宋体" w:eastAsia="仿宋_GB2312"/>
          <w:sz w:val="24"/>
          <w:szCs w:val="24"/>
          <w:lang w:eastAsia="zh-CN"/>
        </w:rPr>
        <w:t>基本要求：</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（1）确保资金存放及使用安全。严格执行国家相关法律法规，具备完善的内控制度建设，业务操作流程规范、安全、准确，有效防范资金安全隐患风险；</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提供高效便捷的账户资金管理服务。协助采购单位开设银行账户，日常做到汇划、对账、清算一日清，准确快捷办理支票、汇兑、对账等结算业务；</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（3）优化资金存款结构。在满足资金流动性需求的前提下，在国家相关政策允许的范围内保障资金利率收益最大化；</w:t>
      </w:r>
    </w:p>
    <w:p>
      <w:pPr>
        <w:spacing w:line="400" w:lineRule="exac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（4）配备金融服务团队及综合服务人员。为采购单位日常业务开展、系统正常运行等方面提供支持保障，配合</w:t>
      </w:r>
      <w:r>
        <w:rPr>
          <w:rFonts w:hint="eastAsia" w:ascii="仿宋_GB2312" w:hAnsi="宋体" w:eastAsia="仿宋_GB2312"/>
          <w:sz w:val="24"/>
          <w:szCs w:val="24"/>
          <w:lang w:eastAsia="zh-CN"/>
        </w:rPr>
        <w:t>采购</w:t>
      </w:r>
      <w:r>
        <w:rPr>
          <w:rFonts w:hint="eastAsia" w:ascii="仿宋_GB2312" w:hAnsi="宋体" w:eastAsia="仿宋_GB2312"/>
          <w:sz w:val="24"/>
          <w:szCs w:val="24"/>
          <w:lang w:val="en-US" w:eastAsia="zh-CN"/>
        </w:rPr>
        <w:t>单位做好账务查询、对账、分账核算等配套服务。</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应急服务需求：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eastAsia="zh-CN"/>
        </w:rPr>
        <w:t>建立支付清算、资金汇划、现金供应等业务系统的应急机制，确保救灾款项第一时间到达指定收款人账户。在采购单位存款总额范围内，需紧急启用救灾预备金时，银行必须第一时间积极配合，启动快速审批通道，简化业务流程，提高业务办理效率。</w:t>
      </w:r>
      <w:r>
        <w:rPr>
          <w:rFonts w:hint="eastAsia" w:ascii="仿宋_GB2312" w:hAnsi="宋体" w:eastAsia="仿宋_GB2312"/>
          <w:sz w:val="24"/>
          <w:szCs w:val="24"/>
          <w:lang w:val="en-US" w:eastAsia="zh-CN"/>
        </w:rPr>
        <w:t>在接到</w:t>
      </w:r>
      <w:r>
        <w:rPr>
          <w:rFonts w:hint="eastAsia" w:ascii="仿宋_GB2312" w:hAnsi="宋体" w:eastAsia="仿宋_GB2312"/>
          <w:sz w:val="24"/>
          <w:szCs w:val="24"/>
          <w:lang w:eastAsia="zh-CN"/>
        </w:rPr>
        <w:t>采购单位</w:t>
      </w:r>
      <w:r>
        <w:rPr>
          <w:rFonts w:hint="eastAsia" w:ascii="仿宋_GB2312" w:hAnsi="宋体" w:eastAsia="仿宋_GB2312"/>
          <w:sz w:val="24"/>
          <w:szCs w:val="24"/>
          <w:lang w:val="en-US" w:eastAsia="zh-CN"/>
        </w:rPr>
        <w:t>的提款信息后，</w:t>
      </w:r>
      <w:r>
        <w:rPr>
          <w:rFonts w:hint="eastAsia" w:ascii="仿宋_GB2312" w:hAnsi="宋体" w:eastAsia="仿宋_GB2312"/>
          <w:sz w:val="24"/>
          <w:szCs w:val="24"/>
          <w:lang w:eastAsia="zh-CN"/>
        </w:rPr>
        <w:t>银行</w:t>
      </w:r>
      <w:r>
        <w:rPr>
          <w:rFonts w:hint="eastAsia" w:ascii="仿宋_GB2312" w:hAnsi="宋体" w:eastAsia="仿宋_GB2312"/>
          <w:sz w:val="24"/>
          <w:szCs w:val="24"/>
          <w:lang w:val="en-US" w:eastAsia="zh-CN"/>
        </w:rPr>
        <w:t>应在24小时内按</w:t>
      </w:r>
      <w:r>
        <w:rPr>
          <w:rFonts w:hint="eastAsia" w:ascii="仿宋_GB2312" w:hAnsi="宋体" w:eastAsia="仿宋_GB2312"/>
          <w:sz w:val="24"/>
          <w:szCs w:val="24"/>
          <w:lang w:eastAsia="zh-CN"/>
        </w:rPr>
        <w:t>采购单位</w:t>
      </w:r>
      <w:r>
        <w:rPr>
          <w:rFonts w:hint="eastAsia" w:ascii="仿宋_GB2312" w:hAnsi="宋体" w:eastAsia="仿宋_GB2312"/>
          <w:sz w:val="24"/>
          <w:szCs w:val="24"/>
          <w:lang w:val="en-US" w:eastAsia="zh-CN"/>
        </w:rPr>
        <w:t>出具的金额及汇款要求汇出款项并确保资金全额到位。同时，</w:t>
      </w:r>
      <w:r>
        <w:rPr>
          <w:rFonts w:hint="eastAsia" w:ascii="仿宋_GB2312" w:hAnsi="宋体" w:eastAsia="仿宋_GB2312"/>
          <w:sz w:val="24"/>
          <w:szCs w:val="24"/>
          <w:lang w:eastAsia="zh-CN"/>
        </w:rPr>
        <w:t>切实保障灾区现金供应，满足救灾期间现金支付需求。</w:t>
      </w:r>
    </w:p>
    <w:p>
      <w:pPr>
        <w:spacing w:line="400" w:lineRule="exact"/>
        <w:rPr>
          <w:rFonts w:hint="eastAsia" w:ascii="仿宋_GB2312" w:hAnsi="宋体" w:eastAsia="仿宋_GB2312"/>
          <w:sz w:val="24"/>
          <w:szCs w:val="24"/>
          <w:lang w:val="en-US" w:eastAsia="zh-CN"/>
        </w:rPr>
      </w:pPr>
    </w:p>
    <w:p>
      <w:pPr>
        <w:spacing w:line="400" w:lineRule="exact"/>
        <w:rPr>
          <w:rFonts w:hint="eastAsia" w:ascii="仿宋_GB2312" w:hAnsi="宋体" w:eastAsia="仿宋_GB2312"/>
          <w:sz w:val="24"/>
          <w:szCs w:val="24"/>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eastAsia" w:ascii="仿宋_GB2312" w:hAnsi="宋体" w:eastAsia="仿宋_GB2312"/>
          <w:b/>
          <w:bCs/>
          <w:color w:val="00B050"/>
          <w:sz w:val="24"/>
          <w:szCs w:val="24"/>
          <w:highlight w:val="none"/>
          <w:lang w:val="en-US" w:eastAsia="zh-CN"/>
        </w:rPr>
      </w:pPr>
    </w:p>
    <w:p>
      <w:pPr>
        <w:spacing w:line="400" w:lineRule="exact"/>
        <w:rPr>
          <w:rFonts w:hint="default" w:ascii="仿宋_GB2312" w:hAnsi="宋体" w:eastAsia="仿宋_GB2312"/>
          <w:b/>
          <w:bCs/>
          <w:color w:val="00B050"/>
          <w:sz w:val="24"/>
          <w:szCs w:val="24"/>
          <w:highlight w:val="none"/>
          <w:lang w:val="en-US" w:eastAsia="zh-CN"/>
        </w:rPr>
      </w:pPr>
    </w:p>
    <w:p>
      <w:pPr>
        <w:numPr>
          <w:ilvl w:val="0"/>
          <w:numId w:val="2"/>
        </w:numPr>
        <w:spacing w:line="440" w:lineRule="exact"/>
        <w:jc w:val="center"/>
        <w:outlineLvl w:val="1"/>
        <w:rPr>
          <w:rFonts w:ascii="仿宋_GB2312" w:hAnsi="宋体" w:eastAsia="仿宋_GB2312" w:cs="宋体"/>
          <w:b/>
          <w:sz w:val="32"/>
          <w:szCs w:val="32"/>
        </w:rPr>
      </w:pPr>
      <w:bookmarkStart w:id="16" w:name="_Toc421861321"/>
      <w:r>
        <w:rPr>
          <w:rFonts w:hint="eastAsia" w:ascii="仿宋_GB2312" w:hAnsi="宋体" w:eastAsia="仿宋_GB2312" w:cs="宋体"/>
          <w:b/>
          <w:sz w:val="32"/>
          <w:szCs w:val="32"/>
        </w:rPr>
        <w:t>商务要求</w:t>
      </w:r>
      <w:bookmarkEnd w:id="16"/>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一、投标人的工作范围</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1、投标人必须能提供《</w:t>
      </w:r>
      <w:r>
        <w:rPr>
          <w:rFonts w:hint="eastAsia" w:ascii="仿宋_GB2312" w:hAnsi="宋体" w:eastAsia="仿宋_GB2312"/>
          <w:sz w:val="24"/>
          <w:szCs w:val="24"/>
          <w:lang w:eastAsia="zh-CN"/>
        </w:rPr>
        <w:t>泉州市应急管理局</w:t>
      </w:r>
      <w:r>
        <w:rPr>
          <w:rFonts w:hint="eastAsia" w:ascii="仿宋_GB2312" w:hAnsi="宋体" w:eastAsia="仿宋_GB2312"/>
          <w:color w:val="auto"/>
          <w:sz w:val="24"/>
          <w:szCs w:val="24"/>
          <w:highlight w:val="none"/>
        </w:rPr>
        <w:t>市级</w:t>
      </w:r>
      <w:r>
        <w:rPr>
          <w:rFonts w:hint="eastAsia" w:ascii="仿宋_GB2312" w:hAnsi="宋体" w:eastAsia="仿宋_GB2312"/>
          <w:color w:val="auto"/>
          <w:sz w:val="24"/>
          <w:szCs w:val="24"/>
          <w:highlight w:val="none"/>
          <w:lang w:eastAsia="zh-CN"/>
        </w:rPr>
        <w:t>救灾</w:t>
      </w:r>
      <w:r>
        <w:rPr>
          <w:rFonts w:hint="eastAsia" w:ascii="仿宋_GB2312" w:hAnsi="宋体" w:eastAsia="仿宋_GB2312"/>
          <w:b w:val="0"/>
          <w:bCs w:val="0"/>
          <w:color w:val="auto"/>
          <w:sz w:val="24"/>
          <w:szCs w:val="24"/>
          <w:highlight w:val="none"/>
          <w:lang w:eastAsia="zh-CN"/>
        </w:rPr>
        <w:t>预备金</w:t>
      </w:r>
      <w:r>
        <w:rPr>
          <w:rFonts w:hint="eastAsia" w:ascii="仿宋_GB2312" w:hAnsi="宋体" w:eastAsia="仿宋_GB2312"/>
          <w:b w:val="0"/>
          <w:bCs w:val="0"/>
          <w:color w:val="auto"/>
          <w:sz w:val="24"/>
          <w:szCs w:val="24"/>
          <w:highlight w:val="none"/>
        </w:rPr>
        <w:t>存放</w:t>
      </w:r>
      <w:r>
        <w:rPr>
          <w:rFonts w:hint="eastAsia" w:ascii="仿宋_GB2312" w:hAnsi="宋体" w:eastAsia="仿宋_GB2312"/>
          <w:color w:val="auto"/>
          <w:sz w:val="24"/>
          <w:szCs w:val="24"/>
          <w:highlight w:val="none"/>
        </w:rPr>
        <w:t>银行</w:t>
      </w:r>
      <w:r>
        <w:rPr>
          <w:rFonts w:hint="eastAsia" w:ascii="仿宋_GB2312" w:hAnsi="宋体" w:eastAsia="仿宋_GB2312"/>
          <w:color w:val="auto"/>
          <w:sz w:val="24"/>
          <w:szCs w:val="24"/>
        </w:rPr>
        <w:t>招</w:t>
      </w:r>
      <w:r>
        <w:rPr>
          <w:rFonts w:hint="eastAsia" w:ascii="仿宋_GB2312" w:hAnsi="宋体" w:eastAsia="仿宋_GB2312"/>
          <w:sz w:val="24"/>
          <w:szCs w:val="24"/>
        </w:rPr>
        <w:t>标项目》中所需的指标体系，并确保合法经营。</w:t>
      </w:r>
    </w:p>
    <w:p>
      <w:pPr>
        <w:spacing w:line="400" w:lineRule="exact"/>
        <w:rPr>
          <w:rFonts w:ascii="仿宋_GB2312" w:hAnsi="宋体" w:eastAsia="仿宋_GB2312"/>
          <w:sz w:val="24"/>
          <w:szCs w:val="24"/>
        </w:rPr>
      </w:pPr>
      <w:r>
        <w:rPr>
          <w:rFonts w:hint="eastAsia" w:ascii="仿宋_GB2312" w:hAnsi="宋体" w:eastAsia="仿宋_GB2312"/>
          <w:sz w:val="24"/>
          <w:szCs w:val="24"/>
        </w:rPr>
        <w:t>2、要求投标人提供的其它伴随服务（或义务）</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（1）投标人应具备相应的经营能力，包括拥有本次项目执行的专业人员。</w:t>
      </w:r>
    </w:p>
    <w:p>
      <w:pPr>
        <w:spacing w:line="400" w:lineRule="exact"/>
        <w:rPr>
          <w:rFonts w:ascii="仿宋_GB2312" w:hAnsi="宋体" w:eastAsia="仿宋_GB2312"/>
          <w:sz w:val="24"/>
          <w:szCs w:val="24"/>
        </w:rPr>
      </w:pPr>
      <w:r>
        <w:rPr>
          <w:rFonts w:hint="eastAsia" w:ascii="仿宋_GB2312" w:hAnsi="宋体" w:eastAsia="仿宋_GB2312"/>
          <w:sz w:val="24"/>
          <w:szCs w:val="24"/>
        </w:rPr>
        <w:t>（2）投标人投标前要充分了本项目的现状和整体情况，保证投标顺利进行，否则自行承担责任。</w:t>
      </w:r>
    </w:p>
    <w:p>
      <w:pPr>
        <w:spacing w:line="400" w:lineRule="exact"/>
        <w:rPr>
          <w:rFonts w:ascii="仿宋_GB2312" w:hAnsi="宋体" w:eastAsia="仿宋_GB2312"/>
          <w:sz w:val="24"/>
          <w:szCs w:val="24"/>
        </w:rPr>
      </w:pPr>
      <w:r>
        <w:rPr>
          <w:rFonts w:hint="eastAsia" w:ascii="仿宋_GB2312" w:hAnsi="宋体" w:eastAsia="仿宋_GB2312"/>
          <w:sz w:val="24"/>
          <w:szCs w:val="24"/>
        </w:rPr>
        <w:t>（3）中标人在履行合同期间内自觉接受招标人、群众及有关部门监督。</w:t>
      </w:r>
    </w:p>
    <w:p>
      <w:pPr>
        <w:spacing w:line="400" w:lineRule="exact"/>
        <w:rPr>
          <w:rFonts w:hint="eastAsia" w:ascii="仿宋_GB2312" w:hAnsi="宋体" w:eastAsia="仿宋_GB2312" w:cs="Times New Roman"/>
          <w:b/>
          <w:bCs/>
          <w:color w:val="auto"/>
          <w:sz w:val="28"/>
          <w:szCs w:val="28"/>
          <w:lang w:eastAsia="zh-CN"/>
        </w:rPr>
      </w:pPr>
      <w:r>
        <w:rPr>
          <w:rFonts w:hint="eastAsia" w:ascii="仿宋_GB2312" w:hAnsi="宋体" w:eastAsia="仿宋_GB2312" w:cs="Times New Roman"/>
          <w:b/>
          <w:bCs/>
          <w:color w:val="auto"/>
          <w:sz w:val="28"/>
          <w:szCs w:val="28"/>
          <w:lang w:eastAsia="zh-CN"/>
        </w:rPr>
        <w:t>二、商务条件：</w:t>
      </w:r>
    </w:p>
    <w:p>
      <w:pPr>
        <w:spacing w:line="400" w:lineRule="exact"/>
        <w:rPr>
          <w:rFonts w:ascii="仿宋_GB2312" w:hAnsi="宋体" w:eastAsia="仿宋_GB2312"/>
          <w:sz w:val="24"/>
          <w:szCs w:val="24"/>
        </w:rPr>
      </w:pPr>
      <w:r>
        <w:rPr>
          <w:rFonts w:hint="eastAsia" w:ascii="仿宋_GB2312" w:hAnsi="宋体" w:eastAsia="仿宋_GB2312"/>
          <w:sz w:val="24"/>
          <w:szCs w:val="24"/>
        </w:rPr>
        <w:t>1、合同期限：3年，即</w:t>
      </w:r>
      <w:r>
        <w:rPr>
          <w:rFonts w:hint="eastAsia" w:ascii="仿宋_GB2312" w:hAnsi="宋体" w:eastAsia="仿宋_GB2312"/>
          <w:sz w:val="24"/>
          <w:szCs w:val="24"/>
          <w:lang w:eastAsia="zh-CN"/>
        </w:rPr>
        <w:t>2020</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月至202</w:t>
      </w:r>
      <w:r>
        <w:rPr>
          <w:rFonts w:hint="eastAsia" w:ascii="仿宋_GB2312" w:hAnsi="宋体" w:eastAsia="仿宋_GB2312"/>
          <w:sz w:val="24"/>
          <w:szCs w:val="24"/>
          <w:lang w:val="en-US" w:eastAsia="zh-CN"/>
        </w:rPr>
        <w:t>2</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月（注：以实际签订合同的时间起算）。</w:t>
      </w:r>
    </w:p>
    <w:p>
      <w:pPr>
        <w:spacing w:line="400" w:lineRule="exact"/>
        <w:rPr>
          <w:rFonts w:hint="eastAsia" w:ascii="仿宋_GB2312" w:hAnsi="宋体" w:eastAsia="仿宋_GB2312"/>
          <w:sz w:val="24"/>
          <w:szCs w:val="24"/>
          <w:lang w:eastAsia="zh-CN"/>
        </w:rPr>
      </w:pPr>
      <w:r>
        <w:rPr>
          <w:rFonts w:hint="eastAsia" w:ascii="仿宋_GB2312" w:hAnsi="宋体" w:eastAsia="仿宋_GB2312"/>
          <w:sz w:val="24"/>
          <w:szCs w:val="24"/>
        </w:rPr>
        <w:t>2、服务地点：</w:t>
      </w:r>
      <w:r>
        <w:rPr>
          <w:rFonts w:hint="eastAsia" w:ascii="仿宋_GB2312" w:hAnsi="宋体" w:eastAsia="仿宋_GB2312"/>
          <w:sz w:val="24"/>
          <w:szCs w:val="24"/>
          <w:lang w:eastAsia="zh-CN"/>
        </w:rPr>
        <w:t>泉州市应急管理局</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三、注意事项</w:t>
      </w:r>
    </w:p>
    <w:p>
      <w:pPr>
        <w:spacing w:line="400" w:lineRule="exact"/>
        <w:rPr>
          <w:rFonts w:ascii="仿宋_GB2312" w:hAnsi="宋体" w:eastAsia="仿宋_GB2312"/>
          <w:sz w:val="24"/>
          <w:szCs w:val="24"/>
        </w:rPr>
      </w:pPr>
      <w:r>
        <w:rPr>
          <w:rFonts w:hint="eastAsia" w:ascii="仿宋_GB2312" w:hAnsi="宋体" w:eastAsia="仿宋_GB2312"/>
          <w:sz w:val="24"/>
          <w:szCs w:val="24"/>
        </w:rPr>
        <w:t>1、投标人应遵守国家有关法律、规章，不得提供虚假资料；中标人产生后，不得拒绝签订《合同》，否则将没收其投标保证金。</w:t>
      </w:r>
    </w:p>
    <w:p>
      <w:pPr>
        <w:spacing w:line="400" w:lineRule="exact"/>
        <w:rPr>
          <w:rFonts w:ascii="仿宋_GB2312" w:hAnsi="宋体" w:eastAsia="仿宋_GB2312"/>
          <w:sz w:val="24"/>
          <w:szCs w:val="24"/>
        </w:rPr>
      </w:pPr>
      <w:r>
        <w:rPr>
          <w:rFonts w:hint="eastAsia" w:ascii="仿宋_GB2312" w:hAnsi="宋体" w:eastAsia="仿宋_GB2312"/>
          <w:sz w:val="24"/>
          <w:szCs w:val="24"/>
        </w:rPr>
        <w:t>2、中标人应认真履行《合同》做好服务工作，否则</w:t>
      </w:r>
      <w:r>
        <w:rPr>
          <w:rFonts w:hint="eastAsia" w:ascii="仿宋_GB2312" w:hAnsi="宋体" w:eastAsia="仿宋_GB2312"/>
          <w:sz w:val="24"/>
          <w:szCs w:val="24"/>
          <w:highlight w:val="none"/>
          <w:lang w:eastAsia="zh-CN"/>
        </w:rPr>
        <w:t>采购人</w:t>
      </w:r>
      <w:r>
        <w:rPr>
          <w:rFonts w:hint="eastAsia" w:ascii="仿宋_GB2312" w:hAnsi="宋体" w:eastAsia="仿宋_GB2312"/>
          <w:sz w:val="24"/>
          <w:szCs w:val="24"/>
        </w:rPr>
        <w:t>将按有关规定进行处罚。</w:t>
      </w:r>
      <w:bookmarkStart w:id="17" w:name="_Toc358298196"/>
    </w:p>
    <w:p>
      <w:pPr>
        <w:spacing w:line="400" w:lineRule="exact"/>
        <w:rPr>
          <w:rFonts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sz w:val="24"/>
          <w:szCs w:val="24"/>
          <w:highlight w:val="none"/>
          <w:lang w:eastAsia="zh-CN"/>
        </w:rPr>
        <w:t>采购</w:t>
      </w:r>
      <w:r>
        <w:rPr>
          <w:rFonts w:hint="eastAsia" w:ascii="仿宋_GB2312" w:hAnsi="宋体" w:eastAsia="仿宋_GB2312"/>
          <w:sz w:val="24"/>
          <w:szCs w:val="24"/>
          <w:highlight w:val="none"/>
        </w:rPr>
        <w:t>人</w:t>
      </w:r>
      <w:r>
        <w:rPr>
          <w:rFonts w:hint="eastAsia" w:ascii="仿宋_GB2312" w:hAnsi="宋体" w:eastAsia="仿宋_GB2312"/>
          <w:sz w:val="24"/>
          <w:szCs w:val="24"/>
        </w:rPr>
        <w:t>在授予合同时有权对本招标项目的服务进行部分调整。</w:t>
      </w:r>
      <w:bookmarkEnd w:id="17"/>
    </w:p>
    <w:p>
      <w:pPr>
        <w:spacing w:line="400" w:lineRule="exact"/>
        <w:rPr>
          <w:rFonts w:ascii="仿宋_GB2312" w:hAnsi="宋体" w:eastAsia="仿宋_GB2312"/>
          <w:sz w:val="24"/>
          <w:szCs w:val="24"/>
        </w:rPr>
      </w:pPr>
      <w:r>
        <w:rPr>
          <w:rFonts w:hint="eastAsia" w:ascii="仿宋_GB2312" w:hAnsi="宋体" w:eastAsia="仿宋_GB2312"/>
          <w:sz w:val="24"/>
          <w:szCs w:val="24"/>
        </w:rPr>
        <w:t>4、投标文件一旦递交，概不退还。</w:t>
      </w:r>
    </w:p>
    <w:p>
      <w:pPr>
        <w:spacing w:line="440" w:lineRule="exact"/>
        <w:outlineLvl w:val="1"/>
        <w:rPr>
          <w:rFonts w:ascii="仿宋_GB2312" w:hAnsi="宋体" w:eastAsia="仿宋_GB2312" w:cs="宋体"/>
          <w:b/>
          <w:sz w:val="28"/>
          <w:szCs w:val="28"/>
        </w:rPr>
      </w:pPr>
      <w:r>
        <w:rPr>
          <w:rFonts w:hint="eastAsia" w:ascii="仿宋_GB2312" w:hAnsi="宋体" w:eastAsia="仿宋_GB2312" w:cs="宋体"/>
          <w:b/>
          <w:sz w:val="28"/>
          <w:szCs w:val="28"/>
        </w:rPr>
        <w:t>四、其他事项</w:t>
      </w:r>
    </w:p>
    <w:p>
      <w:pPr>
        <w:spacing w:line="400" w:lineRule="exact"/>
        <w:rPr>
          <w:rFonts w:ascii="仿宋_GB2312" w:hAnsi="宋体" w:eastAsia="仿宋_GB2312"/>
          <w:color w:val="auto"/>
          <w:sz w:val="24"/>
          <w:szCs w:val="24"/>
        </w:rPr>
      </w:pPr>
      <w:r>
        <w:rPr>
          <w:rFonts w:hint="eastAsia" w:ascii="仿宋_GB2312" w:hAnsi="宋体" w:eastAsia="仿宋_GB2312"/>
          <w:sz w:val="24"/>
          <w:szCs w:val="24"/>
        </w:rPr>
        <w:t>在资金存放期间发生以下情形，</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rPr>
        <w:t>有权提前收回中标银行的存放资金</w:t>
      </w:r>
      <w:r>
        <w:rPr>
          <w:rFonts w:hint="eastAsia" w:ascii="仿宋_GB2312" w:hAnsi="宋体" w:eastAsia="仿宋_GB2312"/>
          <w:color w:val="auto"/>
          <w:sz w:val="24"/>
          <w:szCs w:val="24"/>
          <w:lang w:eastAsia="zh-CN"/>
        </w:rPr>
        <w:t>（包含本金及利息）</w:t>
      </w:r>
      <w:r>
        <w:rPr>
          <w:rFonts w:hint="eastAsia" w:ascii="仿宋_GB2312" w:hAnsi="宋体" w:eastAsia="仿宋_GB2312"/>
          <w:color w:val="auto"/>
          <w:sz w:val="24"/>
          <w:szCs w:val="24"/>
        </w:rPr>
        <w:t>，并在3年内取消该银行参加</w:t>
      </w:r>
      <w:r>
        <w:rPr>
          <w:rFonts w:hint="eastAsia" w:ascii="仿宋_GB2312" w:hAnsi="宋体" w:eastAsia="仿宋_GB2312"/>
          <w:color w:val="auto"/>
          <w:sz w:val="24"/>
          <w:szCs w:val="24"/>
          <w:lang w:eastAsia="zh-CN"/>
        </w:rPr>
        <w:t>本单位</w:t>
      </w:r>
      <w:r>
        <w:rPr>
          <w:rFonts w:hint="eastAsia" w:ascii="仿宋_GB2312" w:hAnsi="宋体" w:eastAsia="仿宋_GB2312"/>
          <w:color w:val="auto"/>
          <w:sz w:val="24"/>
          <w:szCs w:val="24"/>
        </w:rPr>
        <w:t>财政资金竞争性存放的竞标资格：</w:t>
      </w:r>
    </w:p>
    <w:p>
      <w:pPr>
        <w:spacing w:line="400" w:lineRule="exact"/>
        <w:rPr>
          <w:rFonts w:ascii="仿宋_GB2312" w:hAnsi="宋体" w:eastAsia="仿宋_GB2312"/>
          <w:sz w:val="24"/>
          <w:szCs w:val="24"/>
        </w:rPr>
      </w:pPr>
      <w:r>
        <w:rPr>
          <w:rFonts w:hint="eastAsia" w:ascii="仿宋_GB2312" w:hAnsi="宋体" w:eastAsia="仿宋_GB2312"/>
          <w:sz w:val="24"/>
          <w:szCs w:val="24"/>
        </w:rPr>
        <w:t>（一）中标银行在资金存放期间出现资金安全事故和重大违规行为的；</w:t>
      </w:r>
    </w:p>
    <w:p>
      <w:pPr>
        <w:spacing w:line="400" w:lineRule="exact"/>
        <w:rPr>
          <w:rFonts w:ascii="仿宋_GB2312" w:hAnsi="宋体" w:eastAsia="仿宋_GB2312"/>
          <w:sz w:val="24"/>
          <w:szCs w:val="24"/>
        </w:rPr>
      </w:pPr>
      <w:r>
        <w:rPr>
          <w:rFonts w:hint="eastAsia" w:ascii="仿宋_GB2312" w:hAnsi="宋体" w:eastAsia="仿宋_GB2312"/>
          <w:sz w:val="24"/>
          <w:szCs w:val="24"/>
        </w:rPr>
        <w:t>（二）监管评级降低，监管部门认为存在较大运营风险的；</w:t>
      </w:r>
    </w:p>
    <w:p>
      <w:pPr>
        <w:spacing w:line="400" w:lineRule="exact"/>
        <w:rPr>
          <w:rFonts w:ascii="仿宋_GB2312" w:hAnsi="宋体" w:eastAsia="仿宋_GB2312"/>
          <w:sz w:val="24"/>
          <w:szCs w:val="24"/>
        </w:rPr>
      </w:pPr>
      <w:r>
        <w:rPr>
          <w:rFonts w:hint="eastAsia" w:ascii="仿宋_GB2312" w:hAnsi="宋体" w:eastAsia="仿宋_GB2312"/>
          <w:sz w:val="24"/>
          <w:szCs w:val="24"/>
        </w:rPr>
        <w:t>（三）有不正当投标行为；</w:t>
      </w:r>
    </w:p>
    <w:p>
      <w:pPr>
        <w:spacing w:line="400" w:lineRule="exact"/>
        <w:rPr>
          <w:rFonts w:ascii="仿宋_GB2312" w:hAnsi="宋体" w:eastAsia="仿宋_GB2312"/>
          <w:sz w:val="24"/>
          <w:szCs w:val="24"/>
        </w:rPr>
      </w:pPr>
      <w:r>
        <w:rPr>
          <w:rFonts w:hint="eastAsia" w:ascii="仿宋_GB2312" w:hAnsi="宋体" w:eastAsia="仿宋_GB2312"/>
          <w:sz w:val="24"/>
          <w:szCs w:val="24"/>
        </w:rPr>
        <w:t>（四）未遵守廉政承诺或在资金存放中存在其他利益输送行为的；</w:t>
      </w:r>
    </w:p>
    <w:p>
      <w:pPr>
        <w:spacing w:line="400" w:lineRule="exact"/>
        <w:rPr>
          <w:rFonts w:hint="eastAsia" w:ascii="仿宋_GB2312" w:hAnsi="宋体" w:eastAsia="仿宋_GB2312"/>
          <w:sz w:val="24"/>
          <w:szCs w:val="24"/>
        </w:rPr>
      </w:pPr>
      <w:r>
        <w:rPr>
          <w:rFonts w:hint="eastAsia" w:ascii="仿宋_GB2312" w:hAnsi="宋体" w:eastAsia="仿宋_GB2312"/>
          <w:sz w:val="24"/>
          <w:szCs w:val="24"/>
        </w:rPr>
        <w:t>（五）没有按照中标协议承诺履行相应责任和义务；</w:t>
      </w:r>
    </w:p>
    <w:p>
      <w:pPr>
        <w:autoSpaceDE w:val="0"/>
        <w:autoSpaceDN w:val="0"/>
        <w:adjustRightInd w:val="0"/>
        <w:spacing w:line="400" w:lineRule="exact"/>
        <w:rPr>
          <w:rFonts w:hint="eastAsia" w:ascii="仿宋_GB2312" w:hAnsi="宋体" w:eastAsia="仿宋_GB2312"/>
          <w:sz w:val="24"/>
          <w:szCs w:val="24"/>
        </w:rPr>
      </w:pPr>
      <w:r>
        <w:rPr>
          <w:rFonts w:hint="eastAsia" w:ascii="仿宋_GB2312" w:hAnsi="宋体" w:eastAsia="仿宋_GB2312"/>
          <w:b w:val="0"/>
          <w:bCs w:val="0"/>
          <w:color w:val="auto"/>
          <w:sz w:val="24"/>
          <w:szCs w:val="24"/>
          <w:lang w:eastAsia="zh-CN"/>
        </w:rPr>
        <w:t>（六）</w:t>
      </w:r>
      <w:r>
        <w:rPr>
          <w:rFonts w:hint="eastAsia" w:ascii="仿宋_GB2312" w:hAnsi="宋体" w:eastAsia="仿宋_GB2312"/>
          <w:sz w:val="24"/>
          <w:szCs w:val="24"/>
        </w:rPr>
        <w:t>其他妨碍财政资金安全的情形。</w:t>
      </w:r>
    </w:p>
    <w:p>
      <w:pPr>
        <w:spacing w:line="400" w:lineRule="exact"/>
        <w:rPr>
          <w:rFonts w:hint="eastAsia" w:ascii="仿宋_GB2312" w:hAnsi="宋体" w:eastAsia="仿宋_GB2312"/>
          <w:sz w:val="24"/>
          <w:szCs w:val="24"/>
          <w:lang w:eastAsia="zh-CN"/>
        </w:rPr>
      </w:pPr>
    </w:p>
    <w:bookmarkEnd w:id="13"/>
    <w:p>
      <w:pPr>
        <w:snapToGrid w:val="0"/>
        <w:spacing w:line="360" w:lineRule="auto"/>
        <w:rPr>
          <w:rFonts w:ascii="仿宋_GB2312" w:hAnsi="宋体" w:eastAsia="仿宋_GB2312" w:cs="宋体"/>
          <w:b/>
          <w:sz w:val="30"/>
          <w:szCs w:val="30"/>
        </w:rPr>
      </w:pPr>
      <w:bookmarkStart w:id="18" w:name="_Toc430488637"/>
      <w:bookmarkStart w:id="19" w:name="_Toc430488844"/>
      <w:bookmarkStart w:id="20" w:name="_Toc430489112"/>
      <w:bookmarkStart w:id="21" w:name="_Toc209947021"/>
      <w:bookmarkStart w:id="22" w:name="_Toc430422406"/>
      <w:bookmarkStart w:id="23" w:name="_Toc415567491"/>
      <w:bookmarkStart w:id="24" w:name="_Toc430492119"/>
      <w:bookmarkStart w:id="25" w:name="_Ref414870494"/>
      <w:bookmarkStart w:id="26" w:name="_Toc430490605"/>
      <w:bookmarkStart w:id="27" w:name="_Toc466896362"/>
      <w:bookmarkStart w:id="28" w:name="_Toc462535892"/>
      <w:bookmarkStart w:id="29" w:name="_Toc463071339"/>
      <w:bookmarkStart w:id="30" w:name="_Toc142736099"/>
      <w:bookmarkStart w:id="31" w:name="_Toc142736618"/>
      <w:bookmarkStart w:id="32" w:name="_Toc462503551"/>
      <w:bookmarkStart w:id="33" w:name="_Toc48614340"/>
      <w:bookmarkStart w:id="34" w:name="_Toc57451674"/>
      <w:bookmarkStart w:id="35" w:name="_Toc462487377"/>
      <w:bookmarkStart w:id="36" w:name="_Toc462486146"/>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jc w:val="center"/>
        <w:outlineLvl w:val="0"/>
        <w:rPr>
          <w:rFonts w:ascii="仿宋_GB2312" w:hAnsi="宋体" w:eastAsia="仿宋_GB2312" w:cs="宋体"/>
          <w:b/>
          <w:sz w:val="52"/>
          <w:szCs w:val="52"/>
        </w:rPr>
      </w:pPr>
      <w:bookmarkStart w:id="37" w:name="_Toc421861322"/>
      <w:r>
        <w:rPr>
          <w:rFonts w:hint="eastAsia" w:ascii="仿宋_GB2312" w:hAnsi="宋体" w:eastAsia="仿宋_GB2312" w:cs="宋体"/>
          <w:b/>
          <w:sz w:val="52"/>
          <w:szCs w:val="52"/>
        </w:rPr>
        <w:t>第三部分   投标人须知</w:t>
      </w:r>
      <w:bookmarkEnd w:id="37"/>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spacing w:line="394" w:lineRule="exact"/>
        <w:rPr>
          <w:rFonts w:ascii="仿宋_GB2312" w:hAnsi="宋体" w:eastAsia="仿宋_GB2312" w:cs="宋体"/>
          <w:b/>
          <w:sz w:val="30"/>
          <w:szCs w:val="30"/>
        </w:rPr>
      </w:pPr>
    </w:p>
    <w:p>
      <w:pPr>
        <w:widowControl/>
        <w:jc w:val="left"/>
        <w:rPr>
          <w:rFonts w:ascii="仿宋_GB2312" w:hAnsi="宋体" w:eastAsia="仿宋_GB2312" w:cs="宋体"/>
          <w:b/>
          <w:sz w:val="30"/>
          <w:szCs w:val="30"/>
        </w:rPr>
      </w:pPr>
      <w:r>
        <w:rPr>
          <w:rFonts w:ascii="仿宋_GB2312" w:hAnsi="宋体" w:eastAsia="仿宋_GB2312" w:cs="宋体"/>
          <w:b/>
          <w:sz w:val="30"/>
          <w:szCs w:val="30"/>
        </w:rPr>
        <w:br w:type="page"/>
      </w:r>
    </w:p>
    <w:p>
      <w:pPr>
        <w:spacing w:beforeLines="100" w:afterLines="100" w:line="360" w:lineRule="exact"/>
        <w:jc w:val="center"/>
        <w:outlineLvl w:val="1"/>
        <w:rPr>
          <w:rFonts w:ascii="仿宋_GB2312" w:hAnsi="宋体" w:eastAsia="仿宋_GB2312" w:cs="宋体"/>
          <w:b/>
          <w:w w:val="90"/>
          <w:sz w:val="36"/>
          <w:szCs w:val="36"/>
        </w:rPr>
      </w:pPr>
      <w:bookmarkStart w:id="38" w:name="_Toc277925717"/>
      <w:bookmarkStart w:id="39" w:name="_Toc225312823"/>
      <w:bookmarkStart w:id="40" w:name="_Toc377051025"/>
      <w:bookmarkStart w:id="41" w:name="_Toc279482426"/>
      <w:bookmarkStart w:id="42" w:name="_Toc421861323"/>
      <w:bookmarkStart w:id="43" w:name="_Toc421861324"/>
      <w:r>
        <w:rPr>
          <w:rFonts w:hint="eastAsia" w:ascii="仿宋_GB2312" w:hAnsi="宋体" w:eastAsia="仿宋_GB2312" w:cs="宋体"/>
          <w:b/>
          <w:w w:val="90"/>
          <w:sz w:val="36"/>
          <w:szCs w:val="36"/>
        </w:rPr>
        <w:t>投标人须知前附表</w:t>
      </w:r>
      <w:bookmarkEnd w:id="38"/>
      <w:bookmarkEnd w:id="39"/>
      <w:bookmarkEnd w:id="40"/>
      <w:bookmarkEnd w:id="41"/>
      <w:bookmarkEnd w:id="42"/>
    </w:p>
    <w:p>
      <w:pPr>
        <w:spacing w:line="36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本须知前附表的条款号是与《投标人须知》中条款的项号相对应的。如果有矛盾的话，应以本须知前附表为准。 </w:t>
      </w:r>
    </w:p>
    <w:tbl>
      <w:tblPr>
        <w:tblStyle w:val="27"/>
        <w:tblW w:w="10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53"/>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64" w:type="dxa"/>
            <w:vAlign w:val="center"/>
          </w:tcPr>
          <w:p>
            <w:pPr>
              <w:spacing w:beforeLines="50" w:afterLines="50"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项号</w:t>
            </w:r>
          </w:p>
        </w:tc>
        <w:tc>
          <w:tcPr>
            <w:tcW w:w="953" w:type="dxa"/>
            <w:vAlign w:val="center"/>
          </w:tcPr>
          <w:p>
            <w:pPr>
              <w:spacing w:beforeLines="50" w:afterLines="50"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条款号</w:t>
            </w:r>
          </w:p>
        </w:tc>
        <w:tc>
          <w:tcPr>
            <w:tcW w:w="8304" w:type="dxa"/>
            <w:vAlign w:val="center"/>
          </w:tcPr>
          <w:p>
            <w:pPr>
              <w:spacing w:beforeLines="50" w:afterLines="50" w:line="340" w:lineRule="exact"/>
              <w:ind w:firstLine="432" w:firstLineChars="200"/>
              <w:jc w:val="center"/>
              <w:rPr>
                <w:rFonts w:ascii="仿宋_GB2312" w:hAnsi="宋体" w:eastAsia="仿宋_GB2312" w:cs="宋体"/>
                <w:w w:val="90"/>
                <w:sz w:val="24"/>
                <w:szCs w:val="24"/>
              </w:rPr>
            </w:pPr>
            <w:r>
              <w:rPr>
                <w:rFonts w:hint="eastAsia" w:ascii="仿宋_GB2312" w:hAnsi="宋体" w:eastAsia="仿宋_GB2312" w:cs="宋体"/>
                <w:w w:val="90"/>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1</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1.1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w w:val="90"/>
                <w:sz w:val="24"/>
                <w:szCs w:val="24"/>
              </w:rPr>
              <w:t>采 购 人：</w:t>
            </w:r>
            <w:r>
              <w:rPr>
                <w:rFonts w:hint="eastAsia" w:ascii="仿宋_GB2312" w:hAnsi="宋体" w:eastAsia="仿宋_GB2312" w:cs="宋体"/>
                <w:sz w:val="24"/>
                <w:szCs w:val="24"/>
                <w:lang w:eastAsia="zh-CN"/>
              </w:rPr>
              <w:t>泉州市应急管理局</w:t>
            </w:r>
            <w:r>
              <w:rPr>
                <w:rFonts w:hint="eastAsia" w:ascii="仿宋_GB2312" w:hAnsi="宋体" w:eastAsia="仿宋_GB2312" w:cs="宋体"/>
                <w:b/>
                <w:w w:val="90"/>
                <w:sz w:val="24"/>
                <w:szCs w:val="24"/>
              </w:rPr>
              <w:t xml:space="preserve">     </w:t>
            </w:r>
          </w:p>
          <w:p>
            <w:pPr>
              <w:spacing w:line="340" w:lineRule="exact"/>
              <w:rPr>
                <w:rFonts w:hint="eastAsia" w:ascii="仿宋_GB2312" w:hAnsi="宋体" w:eastAsia="仿宋_GB2312" w:cs="宋体"/>
                <w:sz w:val="24"/>
                <w:szCs w:val="24"/>
                <w:lang w:val="en-US" w:eastAsia="zh-CN"/>
              </w:rPr>
            </w:pPr>
            <w:r>
              <w:rPr>
                <w:rFonts w:hint="eastAsia" w:ascii="仿宋_GB2312" w:hAnsi="宋体" w:eastAsia="仿宋_GB2312" w:cs="宋体"/>
                <w:b/>
                <w:w w:val="90"/>
                <w:sz w:val="24"/>
                <w:szCs w:val="24"/>
              </w:rPr>
              <w:t>招标编号：</w:t>
            </w:r>
            <w:r>
              <w:rPr>
                <w:rFonts w:hint="eastAsia" w:ascii="仿宋_GB2312" w:hAnsi="宋体" w:eastAsia="仿宋_GB2312" w:cs="宋体"/>
                <w:sz w:val="24"/>
                <w:szCs w:val="24"/>
              </w:rPr>
              <w:t>FJYFCGZ</w:t>
            </w:r>
            <w:r>
              <w:rPr>
                <w:rFonts w:hint="eastAsia" w:ascii="仿宋_GB2312" w:hAnsi="宋体" w:eastAsia="仿宋_GB2312" w:cs="宋体"/>
                <w:sz w:val="24"/>
                <w:szCs w:val="24"/>
                <w:lang w:eastAsia="zh-CN"/>
              </w:rPr>
              <w:t>2020</w:t>
            </w:r>
            <w:r>
              <w:rPr>
                <w:rFonts w:hint="eastAsia" w:ascii="仿宋_GB2312" w:hAnsi="宋体" w:eastAsia="仿宋_GB2312" w:cs="宋体"/>
                <w:sz w:val="24"/>
                <w:szCs w:val="24"/>
                <w:lang w:val="en-US" w:eastAsia="zh-CN"/>
              </w:rPr>
              <w:t>07</w:t>
            </w:r>
          </w:p>
          <w:p>
            <w:pPr>
              <w:spacing w:line="340" w:lineRule="exact"/>
              <w:rPr>
                <w:rFonts w:ascii="仿宋_GB2312" w:hAnsi="宋体" w:eastAsia="仿宋_GB2312" w:cs="宋体"/>
                <w:sz w:val="24"/>
                <w:szCs w:val="24"/>
              </w:rPr>
            </w:pPr>
            <w:r>
              <w:rPr>
                <w:rFonts w:hint="eastAsia" w:ascii="仿宋_GB2312" w:hAnsi="宋体" w:eastAsia="仿宋_GB2312" w:cs="宋体"/>
                <w:b/>
                <w:w w:val="90"/>
                <w:sz w:val="24"/>
                <w:szCs w:val="24"/>
              </w:rPr>
              <w:t>项目名称：</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highlight w:val="none"/>
              </w:rPr>
              <w:t>市</w:t>
            </w:r>
            <w:r>
              <w:rPr>
                <w:rFonts w:hint="eastAsia" w:ascii="仿宋_GB2312" w:hAnsi="宋体" w:eastAsia="仿宋_GB2312"/>
                <w:sz w:val="24"/>
                <w:szCs w:val="24"/>
                <w:lang w:eastAsia="zh-CN"/>
              </w:rPr>
              <w:t>级救灾预备金存放银行</w:t>
            </w:r>
            <w:r>
              <w:rPr>
                <w:rFonts w:hint="eastAsia" w:ascii="仿宋_GB2312" w:hAnsi="宋体" w:eastAsia="仿宋_GB2312"/>
                <w:sz w:val="24"/>
                <w:szCs w:val="24"/>
              </w:rPr>
              <w:t>招标项目</w:t>
            </w:r>
          </w:p>
          <w:p>
            <w:pPr>
              <w:spacing w:line="340" w:lineRule="exact"/>
              <w:rPr>
                <w:rFonts w:ascii="仿宋_GB2312" w:hAnsi="宋体" w:eastAsia="仿宋_GB2312" w:cs="宋体"/>
                <w:w w:val="90"/>
                <w:sz w:val="24"/>
                <w:szCs w:val="24"/>
              </w:rPr>
            </w:pPr>
            <w:r>
              <w:rPr>
                <w:rFonts w:hint="eastAsia" w:ascii="仿宋_GB2312" w:hAnsi="宋体" w:eastAsia="仿宋_GB2312" w:cs="宋体"/>
                <w:b/>
                <w:w w:val="90"/>
                <w:sz w:val="24"/>
                <w:szCs w:val="24"/>
              </w:rPr>
              <w:t>招标内容：</w:t>
            </w:r>
            <w:r>
              <w:rPr>
                <w:rFonts w:hint="eastAsia" w:ascii="仿宋_GB2312" w:hAnsi="宋体" w:eastAsia="仿宋_GB2312" w:cs="宋体"/>
                <w:sz w:val="24"/>
                <w:szCs w:val="24"/>
              </w:rPr>
              <w:t>详见招标服务一览表。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2</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2.1</w:t>
            </w:r>
          </w:p>
        </w:tc>
        <w:tc>
          <w:tcPr>
            <w:tcW w:w="8304" w:type="dxa"/>
            <w:vAlign w:val="center"/>
          </w:tcPr>
          <w:p>
            <w:pPr>
              <w:widowControl/>
              <w:spacing w:line="400" w:lineRule="exact"/>
              <w:rPr>
                <w:rFonts w:ascii="仿宋_GB2312" w:hAnsi="宋体" w:eastAsia="仿宋_GB2312" w:cs="宋体"/>
                <w:sz w:val="24"/>
                <w:szCs w:val="24"/>
              </w:rPr>
            </w:pPr>
            <w:r>
              <w:rPr>
                <w:rFonts w:hint="eastAsia" w:ascii="仿宋_GB2312" w:hAnsi="宋体" w:eastAsia="仿宋_GB2312" w:cs="宋体"/>
                <w:b/>
                <w:sz w:val="24"/>
                <w:szCs w:val="24"/>
              </w:rPr>
              <w:t>投标人的资格要求</w:t>
            </w:r>
            <w:r>
              <w:rPr>
                <w:rFonts w:hint="eastAsia" w:ascii="仿宋_GB2312" w:hAnsi="宋体" w:eastAsia="仿宋_GB2312" w:cs="宋体"/>
                <w:sz w:val="24"/>
                <w:szCs w:val="24"/>
              </w:rPr>
              <w:t>：</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highlight w:val="none"/>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highlight w:val="none"/>
              </w:rPr>
              <w:t>，并提供</w:t>
            </w:r>
            <w:r>
              <w:rPr>
                <w:rFonts w:hint="eastAsia" w:ascii="仿宋_GB2312" w:hAnsi="宋体" w:eastAsia="仿宋_GB2312" w:cs="宋体"/>
                <w:color w:val="auto"/>
                <w:sz w:val="24"/>
                <w:highlight w:val="none"/>
              </w:rPr>
              <w:t>合格有效的营业执照复印件</w:t>
            </w:r>
            <w:r>
              <w:rPr>
                <w:rFonts w:hint="eastAsia" w:ascii="仿宋_GB2312" w:hAnsi="宋体" w:eastAsia="仿宋_GB2312" w:cs="宋体"/>
                <w:color w:val="auto"/>
                <w:sz w:val="24"/>
                <w:szCs w:val="22"/>
                <w:highlight w:val="none"/>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autoSpaceDE w:val="0"/>
              <w:autoSpaceDN w:val="0"/>
              <w:adjustRightInd w:val="0"/>
              <w:spacing w:line="340" w:lineRule="exact"/>
              <w:rPr>
                <w:rFonts w:ascii="仿宋_GB2312" w:hAnsi="宋体" w:eastAsia="仿宋_GB2312"/>
                <w:sz w:val="24"/>
                <w:szCs w:val="24"/>
              </w:rPr>
            </w:pPr>
            <w:r>
              <w:rPr>
                <w:rFonts w:hint="eastAsia" w:ascii="仿宋_GB2312" w:hAnsi="宋体" w:eastAsia="仿宋_GB2312"/>
                <w:sz w:val="24"/>
                <w:szCs w:val="24"/>
              </w:rPr>
              <w:t>※投标人须提供的资格证明文件详见本招标文件《第三部分 投标人须知》10.</w:t>
            </w:r>
            <w:r>
              <w:rPr>
                <w:rFonts w:hint="eastAsia" w:ascii="仿宋_GB2312" w:hAnsi="宋体" w:eastAsia="仿宋_GB2312"/>
                <w:sz w:val="24"/>
                <w:szCs w:val="24"/>
                <w:lang w:val="en-US" w:eastAsia="zh-CN"/>
              </w:rPr>
              <w:t>1</w:t>
            </w:r>
            <w:r>
              <w:rPr>
                <w:rFonts w:hint="eastAsia" w:ascii="仿宋_GB2312" w:hAnsi="宋体" w:eastAsia="仿宋_GB2312"/>
                <w:sz w:val="24"/>
                <w:szCs w:val="24"/>
              </w:rPr>
              <w:t>第</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5）</w:t>
            </w:r>
            <w:r>
              <w:rPr>
                <w:rFonts w:hint="eastAsia" w:ascii="仿宋_GB2312" w:hAnsi="宋体" w:eastAsia="仿宋_GB2312"/>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3</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3.1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sz w:val="24"/>
                <w:szCs w:val="24"/>
              </w:rPr>
              <w:t>投标有效期</w:t>
            </w:r>
            <w:r>
              <w:rPr>
                <w:rFonts w:hint="eastAsia" w:ascii="仿宋_GB2312" w:hAnsi="宋体" w:eastAsia="仿宋_GB2312" w:cs="宋体"/>
                <w:sz w:val="24"/>
                <w:szCs w:val="24"/>
              </w:rPr>
              <w:t>：投标截止期结束后90日历日。有效期不足将导致其投标文件被拒绝。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4</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4.1</w:t>
            </w:r>
          </w:p>
        </w:tc>
        <w:tc>
          <w:tcPr>
            <w:tcW w:w="8304" w:type="dxa"/>
            <w:vAlign w:val="center"/>
          </w:tcPr>
          <w:p>
            <w:pPr>
              <w:spacing w:line="340" w:lineRule="exact"/>
              <w:jc w:val="left"/>
              <w:rPr>
                <w:rFonts w:ascii="仿宋_GB2312" w:hAnsi="宋体" w:eastAsia="仿宋_GB2312" w:cs="宋体"/>
                <w:sz w:val="24"/>
                <w:szCs w:val="24"/>
              </w:rPr>
            </w:pPr>
            <w:r>
              <w:rPr>
                <w:rFonts w:hint="eastAsia" w:ascii="仿宋_GB2312" w:hAnsi="宋体" w:eastAsia="仿宋_GB2312" w:cs="宋体"/>
                <w:b/>
                <w:sz w:val="24"/>
                <w:szCs w:val="24"/>
              </w:rPr>
              <w:t>投标文件截止时间</w:t>
            </w:r>
            <w:r>
              <w:rPr>
                <w:rFonts w:hint="eastAsia" w:ascii="仿宋_GB2312" w:hAnsi="宋体" w:eastAsia="仿宋_GB2312" w:cs="宋体"/>
                <w:sz w:val="24"/>
                <w:szCs w:val="24"/>
              </w:rPr>
              <w:t>：</w:t>
            </w:r>
            <w:r>
              <w:rPr>
                <w:rFonts w:hint="eastAsia" w:ascii="仿宋_GB2312" w:hAnsi="宋体" w:eastAsia="仿宋_GB2312"/>
                <w:sz w:val="24"/>
                <w:szCs w:val="24"/>
                <w:u w:val="single"/>
                <w:lang w:eastAsia="zh-CN"/>
              </w:rPr>
              <w:t>2020</w:t>
            </w:r>
            <w:r>
              <w:rPr>
                <w:rFonts w:hint="eastAsia" w:ascii="仿宋_GB2312" w:hAnsi="宋体" w:eastAsia="仿宋_GB2312"/>
                <w:sz w:val="24"/>
                <w:szCs w:val="24"/>
                <w:u w:val="single"/>
              </w:rPr>
              <w:t>年</w:t>
            </w:r>
            <w:r>
              <w:rPr>
                <w:rFonts w:hint="eastAsia" w:ascii="仿宋_GB2312" w:hAnsi="宋体" w:eastAsia="仿宋_GB2312"/>
                <w:sz w:val="24"/>
                <w:szCs w:val="24"/>
                <w:u w:val="single"/>
                <w:lang w:val="en-US" w:eastAsia="zh-CN"/>
              </w:rPr>
              <w:t xml:space="preserve">6 </w:t>
            </w:r>
            <w:r>
              <w:rPr>
                <w:rFonts w:hint="eastAsia" w:ascii="仿宋_GB2312" w:hAnsi="宋体" w:eastAsia="仿宋_GB2312"/>
                <w:sz w:val="24"/>
                <w:szCs w:val="24"/>
                <w:u w:val="single"/>
              </w:rPr>
              <w:t>月</w:t>
            </w:r>
            <w:r>
              <w:rPr>
                <w:rFonts w:hint="eastAsia" w:ascii="仿宋_GB2312" w:hAnsi="宋体" w:eastAsia="仿宋_GB2312"/>
                <w:sz w:val="24"/>
                <w:szCs w:val="24"/>
                <w:u w:val="single"/>
                <w:lang w:val="en-US" w:eastAsia="zh-CN"/>
              </w:rPr>
              <w:t xml:space="preserve">17 </w:t>
            </w:r>
            <w:r>
              <w:rPr>
                <w:rFonts w:hint="eastAsia" w:ascii="仿宋_GB2312" w:hAnsi="宋体" w:eastAsia="仿宋_GB2312"/>
                <w:sz w:val="24"/>
                <w:szCs w:val="24"/>
                <w:u w:val="single"/>
              </w:rPr>
              <w:t>日上午9:</w:t>
            </w:r>
            <w:r>
              <w:rPr>
                <w:rFonts w:hint="eastAsia" w:ascii="仿宋_GB2312" w:hAnsi="宋体" w:eastAsia="仿宋_GB2312"/>
                <w:sz w:val="24"/>
                <w:szCs w:val="24"/>
                <w:u w:val="single"/>
                <w:lang w:val="en-US" w:eastAsia="zh-CN"/>
              </w:rPr>
              <w:t>3</w:t>
            </w:r>
            <w:r>
              <w:rPr>
                <w:rFonts w:hint="eastAsia" w:ascii="仿宋_GB2312" w:hAnsi="宋体" w:eastAsia="仿宋_GB2312"/>
                <w:sz w:val="24"/>
                <w:szCs w:val="24"/>
                <w:u w:val="single"/>
              </w:rPr>
              <w:t>0（北京时间）</w:t>
            </w:r>
          </w:p>
          <w:p>
            <w:pPr>
              <w:spacing w:line="340" w:lineRule="exact"/>
              <w:jc w:val="left"/>
              <w:rPr>
                <w:rFonts w:ascii="仿宋_GB2312" w:hAnsi="宋体" w:eastAsia="仿宋_GB2312"/>
                <w:sz w:val="24"/>
                <w:szCs w:val="24"/>
                <w:u w:val="single"/>
              </w:rPr>
            </w:pPr>
            <w:r>
              <w:rPr>
                <w:rFonts w:hint="eastAsia" w:ascii="仿宋_GB2312" w:hAnsi="宋体" w:eastAsia="仿宋_GB2312" w:cs="宋体"/>
                <w:b/>
                <w:sz w:val="24"/>
                <w:szCs w:val="24"/>
              </w:rPr>
              <w:t>开标时间：</w:t>
            </w:r>
            <w:r>
              <w:rPr>
                <w:rFonts w:hint="eastAsia" w:ascii="仿宋_GB2312" w:hAnsi="宋体" w:eastAsia="仿宋_GB2312"/>
                <w:sz w:val="24"/>
                <w:szCs w:val="24"/>
                <w:u w:val="single"/>
                <w:lang w:eastAsia="zh-CN"/>
              </w:rPr>
              <w:t>2020</w:t>
            </w:r>
            <w:r>
              <w:rPr>
                <w:rFonts w:hint="eastAsia" w:ascii="仿宋_GB2312" w:hAnsi="宋体" w:eastAsia="仿宋_GB2312"/>
                <w:sz w:val="24"/>
                <w:szCs w:val="24"/>
                <w:u w:val="single"/>
              </w:rPr>
              <w:t>年</w:t>
            </w:r>
            <w:r>
              <w:rPr>
                <w:rFonts w:hint="eastAsia" w:ascii="仿宋_GB2312" w:hAnsi="宋体" w:eastAsia="仿宋_GB2312"/>
                <w:sz w:val="24"/>
                <w:szCs w:val="24"/>
                <w:u w:val="single"/>
                <w:lang w:val="en-US" w:eastAsia="zh-CN"/>
              </w:rPr>
              <w:t xml:space="preserve">6 </w:t>
            </w:r>
            <w:r>
              <w:rPr>
                <w:rFonts w:hint="eastAsia" w:ascii="仿宋_GB2312" w:hAnsi="宋体" w:eastAsia="仿宋_GB2312"/>
                <w:sz w:val="24"/>
                <w:szCs w:val="24"/>
                <w:u w:val="single"/>
              </w:rPr>
              <w:t>月</w:t>
            </w:r>
            <w:r>
              <w:rPr>
                <w:rFonts w:hint="eastAsia" w:ascii="仿宋_GB2312" w:hAnsi="宋体" w:eastAsia="仿宋_GB2312"/>
                <w:sz w:val="24"/>
                <w:szCs w:val="24"/>
                <w:u w:val="single"/>
                <w:lang w:val="en-US" w:eastAsia="zh-CN"/>
              </w:rPr>
              <w:t xml:space="preserve">17 </w:t>
            </w:r>
            <w:r>
              <w:rPr>
                <w:rFonts w:hint="eastAsia" w:ascii="仿宋_GB2312" w:hAnsi="宋体" w:eastAsia="仿宋_GB2312"/>
                <w:sz w:val="24"/>
                <w:szCs w:val="24"/>
                <w:u w:val="single"/>
              </w:rPr>
              <w:t>日上午9:</w:t>
            </w:r>
            <w:r>
              <w:rPr>
                <w:rFonts w:hint="eastAsia" w:ascii="仿宋_GB2312" w:hAnsi="宋体" w:eastAsia="仿宋_GB2312"/>
                <w:sz w:val="24"/>
                <w:szCs w:val="24"/>
                <w:u w:val="single"/>
                <w:lang w:val="en-US" w:eastAsia="zh-CN"/>
              </w:rPr>
              <w:t>3</w:t>
            </w:r>
            <w:r>
              <w:rPr>
                <w:rFonts w:hint="eastAsia" w:ascii="仿宋_GB2312" w:hAnsi="宋体" w:eastAsia="仿宋_GB2312"/>
                <w:sz w:val="24"/>
                <w:szCs w:val="24"/>
                <w:u w:val="single"/>
              </w:rPr>
              <w:t>0（北京时间）</w:t>
            </w:r>
          </w:p>
          <w:p>
            <w:pPr>
              <w:spacing w:line="340" w:lineRule="exact"/>
              <w:jc w:val="left"/>
              <w:rPr>
                <w:rFonts w:ascii="仿宋_GB2312" w:hAnsi="宋体" w:eastAsia="仿宋_GB2312" w:cs="宋体"/>
                <w:sz w:val="24"/>
                <w:szCs w:val="24"/>
              </w:rPr>
            </w:pPr>
            <w:r>
              <w:rPr>
                <w:rFonts w:hint="eastAsia" w:ascii="仿宋_GB2312" w:hAnsi="宋体" w:eastAsia="仿宋_GB2312" w:cs="宋体"/>
                <w:b/>
                <w:sz w:val="24"/>
                <w:szCs w:val="24"/>
              </w:rPr>
              <w:t>递交投标文件地点及开标地点</w:t>
            </w:r>
            <w:r>
              <w:rPr>
                <w:rFonts w:hint="eastAsia" w:ascii="仿宋_GB2312" w:hAnsi="宋体" w:eastAsia="仿宋_GB2312" w:cs="宋体"/>
                <w:sz w:val="24"/>
                <w:szCs w:val="24"/>
              </w:rPr>
              <w:t>： 福建元丰招标有限公司（地址：泉州市区刺桐路东段富康大厦201室）。</w:t>
            </w:r>
          </w:p>
          <w:p>
            <w:pPr>
              <w:spacing w:line="340" w:lineRule="exact"/>
              <w:jc w:val="left"/>
              <w:rPr>
                <w:rFonts w:ascii="仿宋_GB2312" w:hAnsi="宋体" w:eastAsia="仿宋_GB2312" w:cs="宋体"/>
                <w:sz w:val="24"/>
                <w:szCs w:val="24"/>
              </w:rPr>
            </w:pPr>
            <w:r>
              <w:rPr>
                <w:rFonts w:hint="eastAsia" w:ascii="仿宋_GB2312" w:hAnsi="宋体" w:eastAsia="仿宋_GB2312" w:cs="宋体"/>
                <w:b/>
                <w:sz w:val="24"/>
                <w:szCs w:val="24"/>
              </w:rPr>
              <w:t>接 收 人</w:t>
            </w:r>
            <w:r>
              <w:rPr>
                <w:rFonts w:hint="eastAsia" w:ascii="仿宋_GB2312" w:hAnsi="宋体" w:eastAsia="仿宋_GB2312" w:cs="宋体"/>
                <w:sz w:val="24"/>
                <w:szCs w:val="24"/>
              </w:rPr>
              <w:t>：福建元丰招标有限公司。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5</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5.1</w:t>
            </w:r>
          </w:p>
        </w:tc>
        <w:tc>
          <w:tcPr>
            <w:tcW w:w="8304" w:type="dxa"/>
            <w:vAlign w:val="center"/>
          </w:tcPr>
          <w:p>
            <w:pPr>
              <w:spacing w:line="340" w:lineRule="exact"/>
              <w:rPr>
                <w:rFonts w:ascii="仿宋_GB2312" w:hAnsi="宋体" w:eastAsia="仿宋_GB2312" w:cs="宋体"/>
                <w:b/>
                <w:sz w:val="24"/>
                <w:szCs w:val="24"/>
              </w:rPr>
            </w:pPr>
            <w:r>
              <w:rPr>
                <w:rFonts w:hint="eastAsia" w:ascii="仿宋_GB2312" w:hAnsi="宋体" w:eastAsia="仿宋_GB2312" w:cs="宋体"/>
                <w:b/>
                <w:sz w:val="24"/>
                <w:szCs w:val="24"/>
              </w:rPr>
              <w:t>投标保证金：合同号1的投标保证金为人民币伍万元整（￥：50000.00元）；</w:t>
            </w:r>
          </w:p>
          <w:p>
            <w:pPr>
              <w:spacing w:line="340" w:lineRule="exact"/>
              <w:rPr>
                <w:rFonts w:ascii="仿宋_GB2312" w:hAnsi="宋体" w:eastAsia="仿宋_GB2312" w:cs="宋体"/>
                <w:b/>
                <w:sz w:val="24"/>
                <w:szCs w:val="24"/>
              </w:rPr>
            </w:pPr>
            <w:r>
              <w:rPr>
                <w:rFonts w:hint="eastAsia" w:ascii="仿宋_GB2312" w:hAnsi="宋体" w:eastAsia="仿宋_GB2312" w:cs="宋体"/>
                <w:b/>
                <w:sz w:val="24"/>
                <w:szCs w:val="24"/>
              </w:rPr>
              <w:t>由投标人从其基本账户以电汇或转帐方式足额将保证金汇入以下指定账户，并保证在提交投标文件的截止时间前到达。保证金转账单或电汇单上注明“FJYFCG</w:t>
            </w:r>
            <w:r>
              <w:rPr>
                <w:rFonts w:hint="eastAsia" w:ascii="仿宋_GB2312" w:hAnsi="宋体" w:eastAsia="仿宋_GB2312" w:cs="宋体"/>
                <w:b/>
                <w:sz w:val="24"/>
                <w:szCs w:val="24"/>
                <w:lang w:eastAsia="zh-CN"/>
              </w:rPr>
              <w:t>2020</w:t>
            </w:r>
            <w:r>
              <w:rPr>
                <w:rFonts w:hint="eastAsia" w:ascii="仿宋_GB2312" w:hAnsi="宋体" w:eastAsia="仿宋_GB2312" w:cs="宋体"/>
                <w:b/>
                <w:sz w:val="24"/>
                <w:szCs w:val="24"/>
                <w:lang w:val="en-US" w:eastAsia="zh-CN"/>
              </w:rPr>
              <w:t>07</w:t>
            </w:r>
            <w:r>
              <w:rPr>
                <w:rFonts w:hint="eastAsia" w:ascii="仿宋_GB2312" w:hAnsi="宋体" w:eastAsia="仿宋_GB2312" w:cs="宋体"/>
                <w:b/>
                <w:sz w:val="24"/>
                <w:szCs w:val="24"/>
              </w:rPr>
              <w:t>，</w:t>
            </w:r>
            <w:r>
              <w:rPr>
                <w:rFonts w:hint="eastAsia" w:ascii="仿宋_GB2312" w:hAnsi="宋体" w:eastAsia="仿宋_GB2312" w:cs="宋体"/>
                <w:b/>
                <w:sz w:val="24"/>
                <w:szCs w:val="24"/>
                <w:lang w:eastAsia="zh-CN"/>
              </w:rPr>
              <w:t>2020</w:t>
            </w:r>
            <w:r>
              <w:rPr>
                <w:rFonts w:hint="eastAsia" w:ascii="仿宋_GB2312" w:hAnsi="宋体" w:eastAsia="仿宋_GB2312" w:cs="宋体"/>
                <w:b/>
                <w:sz w:val="24"/>
                <w:szCs w:val="24"/>
              </w:rPr>
              <w:t>年</w:t>
            </w:r>
            <w:r>
              <w:rPr>
                <w:rFonts w:hint="eastAsia" w:ascii="仿宋_GB2312" w:hAnsi="宋体" w:eastAsia="仿宋_GB2312" w:cs="宋体"/>
                <w:b/>
                <w:sz w:val="24"/>
                <w:szCs w:val="24"/>
                <w:lang w:val="en-US" w:eastAsia="zh-CN"/>
              </w:rPr>
              <w:t xml:space="preserve"> 6 </w:t>
            </w:r>
            <w:r>
              <w:rPr>
                <w:rFonts w:hint="eastAsia" w:ascii="仿宋_GB2312" w:hAnsi="宋体" w:eastAsia="仿宋_GB2312" w:cs="宋体"/>
                <w:b/>
                <w:sz w:val="24"/>
                <w:szCs w:val="24"/>
              </w:rPr>
              <w:t>月</w:t>
            </w:r>
            <w:r>
              <w:rPr>
                <w:rFonts w:hint="eastAsia" w:ascii="仿宋_GB2312" w:hAnsi="宋体" w:eastAsia="仿宋_GB2312" w:cs="宋体"/>
                <w:b/>
                <w:sz w:val="24"/>
                <w:szCs w:val="24"/>
                <w:lang w:val="en-US" w:eastAsia="zh-CN"/>
              </w:rPr>
              <w:t xml:space="preserve"> 16 </w:t>
            </w:r>
            <w:r>
              <w:rPr>
                <w:rFonts w:hint="eastAsia" w:ascii="仿宋_GB2312" w:hAnsi="宋体" w:eastAsia="仿宋_GB2312" w:cs="宋体"/>
                <w:b/>
                <w:sz w:val="24"/>
                <w:szCs w:val="24"/>
              </w:rPr>
              <w:t>日下午17:00前汇款信息保密”。本公司将以开户银行提供的保证金到账时间为依据进行确认，保证金未按规定时间到账的不予确认，其投标文件将被拒绝。</w:t>
            </w:r>
          </w:p>
          <w:p>
            <w:pPr>
              <w:spacing w:line="340" w:lineRule="exact"/>
              <w:rPr>
                <w:rFonts w:ascii="仿宋_GB2312" w:hAnsi="宋体" w:eastAsia="仿宋_GB2312" w:cs="宋体"/>
                <w:b/>
                <w:sz w:val="24"/>
                <w:szCs w:val="24"/>
              </w:rPr>
            </w:pPr>
            <w:r>
              <w:rPr>
                <w:rFonts w:hint="eastAsia" w:ascii="仿宋_GB2312" w:hAnsi="宋体" w:eastAsia="仿宋_GB2312" w:cs="宋体"/>
                <w:b/>
                <w:sz w:val="24"/>
                <w:szCs w:val="24"/>
              </w:rPr>
              <w:t>开户行：中国建设银行股份有限公司泉州浦西支行</w:t>
            </w:r>
          </w:p>
          <w:p>
            <w:pPr>
              <w:spacing w:line="340" w:lineRule="exact"/>
              <w:rPr>
                <w:rFonts w:ascii="仿宋_GB2312" w:hAnsi="宋体" w:eastAsia="仿宋_GB2312" w:cs="宋体"/>
                <w:b/>
                <w:sz w:val="24"/>
                <w:szCs w:val="24"/>
              </w:rPr>
            </w:pPr>
            <w:r>
              <w:rPr>
                <w:rFonts w:hint="eastAsia" w:ascii="仿宋_GB2312" w:hAnsi="宋体" w:eastAsia="仿宋_GB2312" w:cs="宋体"/>
                <w:b/>
                <w:sz w:val="24"/>
                <w:szCs w:val="24"/>
              </w:rPr>
              <w:t>帐  号：35050165425600000032</w:t>
            </w:r>
          </w:p>
          <w:p>
            <w:pPr>
              <w:spacing w:line="340" w:lineRule="exact"/>
              <w:rPr>
                <w:rFonts w:ascii="仿宋_GB2312" w:hAnsi="宋体" w:eastAsia="仿宋_GB2312" w:cs="宋体"/>
                <w:b/>
                <w:sz w:val="24"/>
                <w:szCs w:val="24"/>
              </w:rPr>
            </w:pPr>
            <w:r>
              <w:rPr>
                <w:rFonts w:hint="eastAsia" w:ascii="仿宋_GB2312" w:hAnsi="宋体" w:eastAsia="仿宋_GB2312" w:cs="宋体"/>
                <w:b/>
                <w:sz w:val="24"/>
                <w:szCs w:val="24"/>
              </w:rPr>
              <w:t>收款人：福建元丰招标有限公司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64" w:type="dxa"/>
            <w:tcBorders>
              <w:bottom w:val="single" w:color="auto" w:sz="4" w:space="0"/>
            </w:tcBorders>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6</w:t>
            </w:r>
          </w:p>
        </w:tc>
        <w:tc>
          <w:tcPr>
            <w:tcW w:w="953" w:type="dxa"/>
            <w:tcBorders>
              <w:bottom w:val="single" w:color="auto" w:sz="4" w:space="0"/>
            </w:tcBorders>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6.1</w:t>
            </w:r>
          </w:p>
        </w:tc>
        <w:tc>
          <w:tcPr>
            <w:tcW w:w="8304" w:type="dxa"/>
            <w:tcBorders>
              <w:bottom w:val="single" w:color="auto" w:sz="4" w:space="0"/>
            </w:tcBorders>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color w:val="auto"/>
                <w:sz w:val="24"/>
                <w:szCs w:val="24"/>
              </w:rPr>
              <w:t>评标标准和方法</w:t>
            </w:r>
            <w:r>
              <w:rPr>
                <w:rFonts w:hint="eastAsia" w:ascii="仿宋_GB2312" w:hAnsi="宋体" w:eastAsia="仿宋_GB2312" w:cs="宋体"/>
                <w:color w:val="auto"/>
                <w:sz w:val="24"/>
                <w:szCs w:val="24"/>
              </w:rPr>
              <w:t>：采用</w:t>
            </w:r>
            <w:r>
              <w:rPr>
                <w:rFonts w:hint="eastAsia" w:ascii="仿宋_GB2312" w:hAnsi="宋体" w:eastAsia="仿宋_GB2312" w:cs="宋体"/>
                <w:b/>
                <w:color w:val="auto"/>
                <w:sz w:val="24"/>
                <w:szCs w:val="24"/>
                <w:u w:val="single"/>
              </w:rPr>
              <w:t>综合评分法</w:t>
            </w:r>
            <w:r>
              <w:rPr>
                <w:rFonts w:hint="eastAsia" w:ascii="仿宋_GB2312" w:hAnsi="宋体" w:eastAsia="仿宋_GB2312" w:cs="宋体"/>
                <w:color w:val="auto"/>
                <w:sz w:val="24"/>
                <w:szCs w:val="24"/>
              </w:rPr>
              <w:t>确定</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名中标候选人。根据综合得分从高分到低分顺序排列，如得分相同有两家及以上的银行，则以安全性指标项目的得分高低排序，直至选出</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家银行为止。如中标银行弃权或未在规定的时间内签订合作协议的，下一个得分排名的银行为中标银行。有关</w:t>
            </w:r>
            <w:r>
              <w:rPr>
                <w:rFonts w:hint="eastAsia" w:ascii="仿宋_GB2312" w:hAnsi="宋体" w:eastAsia="仿宋_GB2312" w:cs="宋体"/>
                <w:b/>
                <w:color w:val="auto"/>
                <w:sz w:val="24"/>
                <w:szCs w:val="24"/>
              </w:rPr>
              <w:t>无效投标、废标</w:t>
            </w:r>
            <w:r>
              <w:rPr>
                <w:rFonts w:hint="eastAsia" w:ascii="仿宋_GB2312" w:hAnsi="宋体" w:eastAsia="仿宋_GB2312" w:cs="宋体"/>
                <w:b w:val="0"/>
                <w:bCs/>
                <w:color w:val="auto"/>
                <w:sz w:val="24"/>
                <w:szCs w:val="24"/>
              </w:rPr>
              <w:t>之</w:t>
            </w:r>
            <w:r>
              <w:rPr>
                <w:rFonts w:hint="eastAsia" w:ascii="仿宋_GB2312" w:hAnsi="宋体" w:eastAsia="仿宋_GB2312" w:cs="宋体"/>
                <w:color w:val="auto"/>
                <w:sz w:val="24"/>
                <w:szCs w:val="24"/>
              </w:rPr>
              <w:t>规定详见第三部分17.3款，请投标人认真研读。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7</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 xml:space="preserve"> 7.1</w:t>
            </w:r>
          </w:p>
        </w:tc>
        <w:tc>
          <w:tcPr>
            <w:tcW w:w="8304" w:type="dxa"/>
            <w:vAlign w:val="center"/>
          </w:tcPr>
          <w:p>
            <w:pPr>
              <w:spacing w:line="340" w:lineRule="exact"/>
              <w:rPr>
                <w:rFonts w:ascii="仿宋_GB2312" w:hAnsi="宋体" w:eastAsia="仿宋_GB2312" w:cs="宋体"/>
                <w:sz w:val="24"/>
                <w:szCs w:val="24"/>
              </w:rPr>
            </w:pPr>
            <w:r>
              <w:rPr>
                <w:rFonts w:hint="eastAsia" w:ascii="仿宋_GB2312" w:hAnsi="宋体" w:eastAsia="仿宋_GB2312" w:cs="宋体"/>
                <w:b/>
                <w:sz w:val="24"/>
                <w:szCs w:val="24"/>
              </w:rPr>
              <w:t>招标代理服务费</w:t>
            </w:r>
            <w:r>
              <w:rPr>
                <w:rFonts w:hint="eastAsia" w:ascii="仿宋_GB2312" w:hAnsi="宋体" w:eastAsia="仿宋_GB2312" w:cs="宋体"/>
                <w:sz w:val="24"/>
                <w:szCs w:val="24"/>
              </w:rPr>
              <w:t>：</w:t>
            </w:r>
            <w:r>
              <w:rPr>
                <w:rFonts w:hint="eastAsia" w:ascii="仿宋_GB2312" w:hAnsi="宋体" w:eastAsia="仿宋_GB2312" w:cs="宋体"/>
                <w:color w:val="auto"/>
                <w:sz w:val="24"/>
                <w:szCs w:val="24"/>
                <w:highlight w:val="none"/>
              </w:rPr>
              <w:t>中标人应在中标公告发布的三个工作日内支付招标代理服务费,本项目的招标代理服务费</w:t>
            </w:r>
            <w:r>
              <w:rPr>
                <w:rFonts w:hint="eastAsia" w:ascii="仿宋_GB2312" w:hAnsi="宋体" w:eastAsia="仿宋_GB2312" w:cs="宋体"/>
                <w:b/>
                <w:bCs/>
                <w:color w:val="auto"/>
                <w:sz w:val="24"/>
                <w:szCs w:val="24"/>
                <w:highlight w:val="none"/>
                <w:lang w:eastAsia="zh-CN"/>
              </w:rPr>
              <w:t>为</w:t>
            </w:r>
            <w:r>
              <w:rPr>
                <w:rFonts w:hint="eastAsia" w:ascii="仿宋_GB2312" w:hAnsi="宋体" w:eastAsia="仿宋_GB2312" w:cs="宋体"/>
                <w:b/>
                <w:bCs/>
                <w:color w:val="auto"/>
                <w:sz w:val="24"/>
                <w:szCs w:val="24"/>
                <w:highlight w:val="none"/>
              </w:rPr>
              <w:t>人民币</w:t>
            </w:r>
            <w:r>
              <w:rPr>
                <w:rFonts w:hint="eastAsia" w:ascii="仿宋_GB2312" w:hAnsi="宋体" w:eastAsia="仿宋_GB2312" w:cs="宋体"/>
                <w:b/>
                <w:bCs/>
                <w:color w:val="auto"/>
                <w:sz w:val="24"/>
                <w:szCs w:val="24"/>
                <w:highlight w:val="none"/>
                <w:lang w:val="en-US" w:eastAsia="zh-CN"/>
              </w:rPr>
              <w:t>1万</w:t>
            </w:r>
            <w:r>
              <w:rPr>
                <w:rFonts w:hint="eastAsia" w:ascii="仿宋_GB2312" w:hAnsi="宋体" w:eastAsia="仿宋_GB2312" w:cs="宋体"/>
                <w:b/>
                <w:bCs/>
                <w:color w:val="auto"/>
                <w:sz w:val="24"/>
                <w:szCs w:val="24"/>
                <w:highlight w:val="none"/>
              </w:rPr>
              <w:t>元</w:t>
            </w:r>
            <w:r>
              <w:rPr>
                <w:rFonts w:hint="eastAsia" w:ascii="仿宋_GB2312" w:hAnsi="宋体" w:eastAsia="仿宋_GB2312" w:cs="宋体"/>
                <w:b/>
                <w:bCs/>
                <w:color w:val="auto"/>
                <w:sz w:val="24"/>
                <w:szCs w:val="24"/>
                <w:highlight w:val="none"/>
                <w:lang w:eastAsia="zh-CN"/>
              </w:rPr>
              <w:t>。</w:t>
            </w:r>
            <w:r>
              <w:rPr>
                <w:rFonts w:hint="eastAsia" w:ascii="仿宋_GB2312" w:hAnsi="宋体" w:eastAsia="仿宋_GB2312" w:cs="宋体"/>
                <w:sz w:val="24"/>
                <w:szCs w:val="24"/>
              </w:rPr>
              <w:t>请投标人投标时予以充分考虑。招标代理服务费以人民币支付。交纳方式：电汇或现金。并将所签订的《</w:t>
            </w:r>
            <w:r>
              <w:rPr>
                <w:rFonts w:hint="eastAsia" w:ascii="仿宋_GB2312" w:hAnsi="宋体" w:eastAsia="仿宋_GB2312"/>
                <w:sz w:val="24"/>
                <w:szCs w:val="24"/>
                <w:lang w:eastAsia="zh-CN"/>
              </w:rPr>
              <w:t>泉州市应急管理局</w:t>
            </w:r>
            <w:r>
              <w:rPr>
                <w:rFonts w:hint="eastAsia" w:ascii="仿宋_GB2312" w:hAnsi="宋体" w:eastAsia="仿宋_GB2312"/>
                <w:sz w:val="24"/>
                <w:szCs w:val="24"/>
                <w:highlight w:val="none"/>
              </w:rPr>
              <w:t>市级</w:t>
            </w:r>
            <w:r>
              <w:rPr>
                <w:rFonts w:hint="eastAsia" w:ascii="仿宋_GB2312" w:hAnsi="宋体" w:eastAsia="仿宋_GB2312"/>
                <w:sz w:val="24"/>
                <w:szCs w:val="24"/>
                <w:lang w:eastAsia="zh-CN"/>
              </w:rPr>
              <w:t>救灾预备金存放银</w:t>
            </w:r>
            <w:r>
              <w:rPr>
                <w:rFonts w:hint="eastAsia" w:ascii="仿宋_GB2312" w:hAnsi="宋体" w:eastAsia="仿宋_GB2312"/>
                <w:sz w:val="24"/>
                <w:szCs w:val="24"/>
                <w:highlight w:val="none"/>
              </w:rPr>
              <w:t>行</w:t>
            </w:r>
            <w:r>
              <w:rPr>
                <w:rFonts w:hint="eastAsia" w:ascii="仿宋_GB2312" w:hAnsi="宋体" w:eastAsia="仿宋_GB2312"/>
                <w:sz w:val="24"/>
                <w:szCs w:val="24"/>
              </w:rPr>
              <w:t>招标项目</w:t>
            </w:r>
            <w:r>
              <w:rPr>
                <w:rFonts w:hint="eastAsia" w:ascii="仿宋_GB2312" w:hAnsi="宋体" w:eastAsia="仿宋_GB2312" w:cs="宋体"/>
                <w:sz w:val="24"/>
                <w:szCs w:val="24"/>
              </w:rPr>
              <w:t>》的合同原件及《退回保证金的申请单》送到我司后方予办理退还投标保证金。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8</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8.1</w:t>
            </w:r>
          </w:p>
        </w:tc>
        <w:tc>
          <w:tcPr>
            <w:tcW w:w="8304" w:type="dxa"/>
            <w:vAlign w:val="center"/>
          </w:tcPr>
          <w:p>
            <w:pPr>
              <w:spacing w:line="400" w:lineRule="exact"/>
              <w:rPr>
                <w:rFonts w:ascii="仿宋_GB2312" w:hAnsi="宋体" w:eastAsia="仿宋_GB2312" w:cs="宋体"/>
                <w:sz w:val="24"/>
                <w:szCs w:val="24"/>
              </w:rPr>
            </w:pPr>
            <w:r>
              <w:rPr>
                <w:rFonts w:hint="eastAsia" w:ascii="仿宋_GB2312" w:hAnsi="宋体" w:eastAsia="仿宋_GB2312" w:cs="宋体"/>
                <w:b/>
                <w:sz w:val="24"/>
                <w:szCs w:val="24"/>
              </w:rPr>
              <w:t>凡有下列情况之一者，投标文件也将被视为未实质性响应招标文件要求将被拒绝或作无效标处理：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 投标文件未进行密封、标记的；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 未按规定由投标人的法定代表人或其授权代表签字，或未加盖投标人公章的；或签字人未经法定代表人有效授权委托的；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(3) 未按规定提交投标保证金的；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(4) 投标有效期不满足招标文件要求的；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(5) 投标内容与招标内容及要求有重大偏离或保留的；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(6) 一个投标人不止投一个标；</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(7)投标文件组成不符合招标文件要求的；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(8)未按招标文件第10.</w:t>
            </w:r>
            <w:r>
              <w:rPr>
                <w:rFonts w:hint="eastAsia" w:ascii="仿宋_GB2312" w:hAnsi="宋体" w:eastAsia="仿宋_GB2312" w:cs="宋体"/>
                <w:sz w:val="24"/>
                <w:szCs w:val="24"/>
                <w:lang w:val="en-US" w:eastAsia="zh-CN"/>
              </w:rPr>
              <w:t>1</w:t>
            </w:r>
            <w:r>
              <w:rPr>
                <w:rFonts w:hint="eastAsia" w:ascii="仿宋_GB2312" w:hAnsi="宋体" w:eastAsia="仿宋_GB2312" w:cs="宋体"/>
                <w:sz w:val="24"/>
                <w:szCs w:val="24"/>
              </w:rPr>
              <w:t>(5)条要求提供投标人的资格证明文件的；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(9)投标文件中提供虚假或失实资料的；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(10)不符合招标文件中规定的其它实质性条款。</w:t>
            </w:r>
          </w:p>
          <w:p>
            <w:pPr>
              <w:spacing w:line="340" w:lineRule="exact"/>
              <w:rPr>
                <w:rFonts w:ascii="仿宋_GB2312" w:hAnsi="宋体" w:eastAsia="仿宋_GB2312" w:cs="宋体"/>
                <w:b/>
                <w:sz w:val="24"/>
                <w:szCs w:val="24"/>
              </w:rPr>
            </w:pPr>
            <w:r>
              <w:rPr>
                <w:rFonts w:hint="eastAsia" w:ascii="仿宋_GB2312" w:hAnsi="宋体" w:eastAsia="仿宋_GB2312" w:cs="宋体"/>
                <w:sz w:val="24"/>
                <w:szCs w:val="24"/>
              </w:rPr>
              <w:t>(11)投标文件未按照招标文件第10条的规定组成、制作的。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64"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9</w:t>
            </w:r>
          </w:p>
        </w:tc>
        <w:tc>
          <w:tcPr>
            <w:tcW w:w="953" w:type="dxa"/>
            <w:vAlign w:val="center"/>
          </w:tcPr>
          <w:p>
            <w:pPr>
              <w:spacing w:line="3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9.1</w:t>
            </w:r>
          </w:p>
        </w:tc>
        <w:tc>
          <w:tcPr>
            <w:tcW w:w="8304" w:type="dxa"/>
            <w:vAlign w:val="center"/>
          </w:tcPr>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出现下列情况之一者，作为废标处理：</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（1）对招标文件作实质性响应的投标人不足三家的；</w:t>
            </w:r>
          </w:p>
          <w:p>
            <w:pPr>
              <w:spacing w:line="400" w:lineRule="exact"/>
              <w:rPr>
                <w:rFonts w:ascii="仿宋_GB2312" w:hAnsi="宋体" w:eastAsia="仿宋_GB2312" w:cs="宋体"/>
                <w:sz w:val="24"/>
                <w:szCs w:val="24"/>
              </w:rPr>
            </w:pPr>
            <w:r>
              <w:rPr>
                <w:rFonts w:hint="eastAsia" w:ascii="仿宋_GB2312" w:hAnsi="宋体" w:eastAsia="仿宋_GB2312" w:cs="宋体"/>
                <w:sz w:val="24"/>
                <w:szCs w:val="24"/>
              </w:rPr>
              <w:t>（2）出现影响招标公正的违法、违规行为的；</w:t>
            </w:r>
          </w:p>
          <w:p>
            <w:pPr>
              <w:spacing w:line="340" w:lineRule="exact"/>
              <w:rPr>
                <w:rFonts w:hint="eastAsia" w:ascii="仿宋_GB2312" w:hAnsi="宋体" w:eastAsia="仿宋_GB2312" w:cs="宋体"/>
                <w:sz w:val="24"/>
                <w:szCs w:val="24"/>
              </w:rPr>
            </w:pPr>
            <w:r>
              <w:rPr>
                <w:rFonts w:hint="eastAsia" w:ascii="仿宋_GB2312" w:hAnsi="宋体" w:eastAsia="仿宋_GB2312" w:cs="宋体"/>
                <w:sz w:val="24"/>
                <w:szCs w:val="24"/>
              </w:rPr>
              <w:t>（3）因重大变故，招标任务取消的。</w:t>
            </w:r>
          </w:p>
        </w:tc>
      </w:tr>
    </w:tbl>
    <w:p>
      <w:pPr>
        <w:spacing w:line="394" w:lineRule="exact"/>
        <w:jc w:val="both"/>
        <w:outlineLvl w:val="1"/>
        <w:rPr>
          <w:rFonts w:ascii="仿宋_GB2312" w:hAnsi="宋体" w:eastAsia="仿宋_GB2312" w:cs="宋体"/>
          <w:b/>
          <w:sz w:val="30"/>
          <w:szCs w:val="30"/>
        </w:rPr>
      </w:pPr>
    </w:p>
    <w:p>
      <w:pPr>
        <w:spacing w:line="394" w:lineRule="exact"/>
        <w:jc w:val="center"/>
        <w:outlineLvl w:val="1"/>
        <w:rPr>
          <w:rFonts w:ascii="仿宋_GB2312" w:hAnsi="宋体" w:eastAsia="仿宋_GB2312" w:cs="宋体"/>
          <w:b/>
          <w:sz w:val="30"/>
          <w:szCs w:val="30"/>
        </w:rPr>
      </w:pPr>
      <w:r>
        <w:rPr>
          <w:rFonts w:hint="eastAsia" w:ascii="仿宋_GB2312" w:hAnsi="宋体" w:eastAsia="仿宋_GB2312" w:cs="宋体"/>
          <w:b/>
          <w:sz w:val="30"/>
          <w:szCs w:val="30"/>
        </w:rPr>
        <w:t>一、说明</w:t>
      </w:r>
      <w:bookmarkEnd w:id="43"/>
    </w:p>
    <w:bookmarkEnd w:id="18"/>
    <w:bookmarkEnd w:id="19"/>
    <w:bookmarkEnd w:id="20"/>
    <w:bookmarkEnd w:id="21"/>
    <w:bookmarkEnd w:id="22"/>
    <w:bookmarkEnd w:id="23"/>
    <w:bookmarkEnd w:id="24"/>
    <w:bookmarkEnd w:id="25"/>
    <w:bookmarkEnd w:id="26"/>
    <w:p>
      <w:pPr>
        <w:spacing w:line="400" w:lineRule="exact"/>
        <w:rPr>
          <w:rFonts w:ascii="仿宋_GB2312" w:hAnsi="宋体" w:eastAsia="仿宋_GB2312" w:cs="宋体"/>
          <w:b/>
          <w:sz w:val="24"/>
          <w:szCs w:val="24"/>
        </w:rPr>
      </w:pPr>
      <w:bookmarkStart w:id="44" w:name="_Toc415567494"/>
      <w:bookmarkStart w:id="45" w:name="_Toc430488640"/>
      <w:bookmarkStart w:id="46" w:name="_Toc209947024"/>
      <w:bookmarkStart w:id="47" w:name="_Toc430422409"/>
      <w:bookmarkStart w:id="48" w:name="_Toc430492122"/>
      <w:bookmarkStart w:id="49" w:name="_Toc430488847"/>
      <w:bookmarkStart w:id="50" w:name="_Toc430490608"/>
      <w:bookmarkStart w:id="51" w:name="_Toc430489115"/>
      <w:r>
        <w:rPr>
          <w:rFonts w:hint="eastAsia" w:ascii="仿宋_GB2312" w:hAnsi="宋体" w:eastAsia="仿宋_GB2312" w:cs="宋体"/>
          <w:b/>
          <w:sz w:val="24"/>
          <w:szCs w:val="24"/>
        </w:rPr>
        <w:t>1.适用范围</w:t>
      </w:r>
    </w:p>
    <w:p>
      <w:pPr>
        <w:pStyle w:val="5"/>
        <w:snapToGrid w:val="0"/>
        <w:spacing w:line="400" w:lineRule="exact"/>
        <w:ind w:firstLine="480" w:firstLineChars="200"/>
        <w:outlineLvl w:val="0"/>
        <w:rPr>
          <w:rFonts w:ascii="仿宋_GB2312" w:hAnsi="宋体" w:eastAsia="仿宋_GB2312" w:cs="宋体"/>
          <w:sz w:val="24"/>
          <w:szCs w:val="24"/>
        </w:rPr>
      </w:pPr>
      <w:bookmarkStart w:id="52" w:name="_Toc421861325"/>
      <w:bookmarkStart w:id="53" w:name="_Toc377051027"/>
      <w:bookmarkStart w:id="54" w:name="_Toc421861138"/>
      <w:r>
        <w:rPr>
          <w:rFonts w:hint="eastAsia" w:ascii="仿宋_GB2312" w:hAnsi="宋体" w:eastAsia="仿宋_GB2312" w:cs="宋体"/>
          <w:sz w:val="24"/>
          <w:szCs w:val="24"/>
        </w:rPr>
        <w:t>1.1本招标文件仅适用于本投标邀请中所叙述项目的货物及服务招标。</w:t>
      </w:r>
      <w:bookmarkEnd w:id="52"/>
      <w:bookmarkEnd w:id="53"/>
      <w:bookmarkEnd w:id="54"/>
    </w:p>
    <w:p>
      <w:pPr>
        <w:spacing w:line="400" w:lineRule="exact"/>
        <w:rPr>
          <w:rFonts w:ascii="仿宋_GB2312" w:hAnsi="宋体" w:eastAsia="仿宋_GB2312" w:cs="宋体"/>
          <w:b/>
          <w:sz w:val="24"/>
          <w:szCs w:val="24"/>
        </w:rPr>
      </w:pPr>
      <w:bookmarkStart w:id="55" w:name="_Toc430490606"/>
      <w:bookmarkStart w:id="56" w:name="_Toc209947022"/>
      <w:bookmarkStart w:id="57" w:name="_Toc430422407"/>
      <w:bookmarkStart w:id="58" w:name="_Toc430488845"/>
      <w:bookmarkStart w:id="59" w:name="_Toc430489113"/>
      <w:bookmarkStart w:id="60" w:name="_Toc415567492"/>
      <w:bookmarkStart w:id="61" w:name="_Toc430492120"/>
      <w:bookmarkStart w:id="62" w:name="_Toc430488638"/>
      <w:r>
        <w:rPr>
          <w:rFonts w:hint="eastAsia" w:ascii="仿宋_GB2312" w:hAnsi="宋体" w:eastAsia="仿宋_GB2312" w:cs="宋体"/>
          <w:b/>
          <w:sz w:val="24"/>
          <w:szCs w:val="24"/>
        </w:rPr>
        <w:t>2.定义</w:t>
      </w:r>
      <w:bookmarkEnd w:id="55"/>
      <w:bookmarkEnd w:id="56"/>
      <w:bookmarkEnd w:id="57"/>
      <w:bookmarkEnd w:id="58"/>
      <w:bookmarkEnd w:id="59"/>
      <w:bookmarkEnd w:id="60"/>
      <w:bookmarkEnd w:id="61"/>
      <w:bookmarkEnd w:id="62"/>
    </w:p>
    <w:p>
      <w:pPr>
        <w:pStyle w:val="5"/>
        <w:snapToGrid w:val="0"/>
        <w:spacing w:line="400" w:lineRule="exact"/>
        <w:ind w:firstLine="480" w:firstLineChars="200"/>
        <w:outlineLvl w:val="0"/>
        <w:rPr>
          <w:rFonts w:ascii="仿宋_GB2312" w:hAnsi="宋体" w:eastAsia="仿宋_GB2312" w:cs="宋体"/>
          <w:sz w:val="24"/>
          <w:szCs w:val="24"/>
        </w:rPr>
      </w:pPr>
      <w:bookmarkStart w:id="63" w:name="_Toc377051028"/>
      <w:bookmarkStart w:id="64" w:name="_Toc421861139"/>
      <w:bookmarkStart w:id="65" w:name="_Toc421861326"/>
      <w:bookmarkStart w:id="66" w:name="_Toc415567493"/>
      <w:bookmarkStart w:id="67" w:name="_Toc209947023"/>
      <w:bookmarkStart w:id="68" w:name="_Toc430422408"/>
      <w:bookmarkStart w:id="69" w:name="_Toc430492121"/>
      <w:bookmarkStart w:id="70" w:name="_Toc430490607"/>
      <w:bookmarkStart w:id="71" w:name="_Toc430488639"/>
      <w:bookmarkStart w:id="72" w:name="_Toc430489114"/>
      <w:bookmarkStart w:id="73" w:name="_Toc430488846"/>
      <w:r>
        <w:rPr>
          <w:rFonts w:hint="eastAsia" w:ascii="仿宋_GB2312" w:hAnsi="宋体" w:eastAsia="仿宋_GB2312" w:cs="宋体"/>
          <w:sz w:val="24"/>
          <w:szCs w:val="24"/>
        </w:rPr>
        <w:t>2.1“</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”系指委托招标业主方</w:t>
      </w:r>
      <w:bookmarkEnd w:id="63"/>
      <w:r>
        <w:rPr>
          <w:rFonts w:hint="eastAsia" w:ascii="仿宋_GB2312" w:hAnsi="宋体" w:eastAsia="仿宋_GB2312" w:cs="宋体"/>
          <w:sz w:val="24"/>
          <w:szCs w:val="24"/>
        </w:rPr>
        <w:t>。</w:t>
      </w:r>
      <w:bookmarkEnd w:id="64"/>
      <w:bookmarkEnd w:id="65"/>
    </w:p>
    <w:p>
      <w:pPr>
        <w:pStyle w:val="5"/>
        <w:snapToGrid w:val="0"/>
        <w:spacing w:line="400" w:lineRule="exact"/>
        <w:ind w:firstLine="480" w:firstLineChars="200"/>
        <w:outlineLvl w:val="0"/>
        <w:rPr>
          <w:rFonts w:ascii="仿宋_GB2312" w:hAnsi="宋体" w:eastAsia="仿宋_GB2312" w:cs="宋体"/>
          <w:sz w:val="24"/>
          <w:szCs w:val="24"/>
        </w:rPr>
      </w:pPr>
      <w:bookmarkStart w:id="74" w:name="_Toc421861140"/>
      <w:bookmarkStart w:id="75" w:name="_Toc421861327"/>
      <w:bookmarkStart w:id="76" w:name="_Toc377051029"/>
      <w:r>
        <w:rPr>
          <w:rFonts w:hint="eastAsia" w:ascii="仿宋_GB2312" w:hAnsi="宋体" w:eastAsia="仿宋_GB2312" w:cs="宋体"/>
          <w:sz w:val="24"/>
          <w:szCs w:val="24"/>
        </w:rPr>
        <w:t>2.2“招标代理”系指本次招标招标项目活动组织方，即“福建元丰招标有限公司”。</w:t>
      </w:r>
      <w:bookmarkEnd w:id="74"/>
      <w:bookmarkEnd w:id="75"/>
      <w:bookmarkEnd w:id="76"/>
    </w:p>
    <w:p>
      <w:pPr>
        <w:pStyle w:val="5"/>
        <w:snapToGrid w:val="0"/>
        <w:spacing w:line="400" w:lineRule="exact"/>
        <w:ind w:firstLine="480" w:firstLineChars="200"/>
        <w:outlineLvl w:val="0"/>
        <w:rPr>
          <w:rFonts w:ascii="仿宋_GB2312" w:hAnsi="宋体" w:eastAsia="仿宋_GB2312" w:cs="宋体"/>
          <w:sz w:val="24"/>
          <w:szCs w:val="24"/>
        </w:rPr>
      </w:pPr>
      <w:bookmarkStart w:id="77" w:name="_Toc421861328"/>
      <w:bookmarkStart w:id="78" w:name="_Toc421861141"/>
      <w:bookmarkStart w:id="79" w:name="_Toc377051030"/>
      <w:r>
        <w:rPr>
          <w:rFonts w:hint="eastAsia" w:ascii="仿宋_GB2312" w:hAnsi="宋体" w:eastAsia="仿宋_GB2312" w:cs="宋体"/>
          <w:sz w:val="24"/>
          <w:szCs w:val="24"/>
        </w:rPr>
        <w:t>2.3“供应商”系指符合《招标文件》规定条件且购买了本招标文件的潜在投标人。</w:t>
      </w:r>
      <w:bookmarkEnd w:id="77"/>
      <w:bookmarkEnd w:id="78"/>
      <w:bookmarkEnd w:id="79"/>
    </w:p>
    <w:p>
      <w:pPr>
        <w:pStyle w:val="5"/>
        <w:snapToGrid w:val="0"/>
        <w:spacing w:line="400" w:lineRule="exact"/>
        <w:ind w:firstLine="480" w:firstLineChars="200"/>
        <w:outlineLvl w:val="0"/>
        <w:rPr>
          <w:rFonts w:ascii="仿宋_GB2312" w:hAnsi="宋体" w:eastAsia="仿宋_GB2312" w:cs="宋体"/>
          <w:sz w:val="24"/>
          <w:szCs w:val="24"/>
        </w:rPr>
      </w:pPr>
      <w:bookmarkStart w:id="80" w:name="_Toc377051031"/>
      <w:bookmarkStart w:id="81" w:name="_Toc421861329"/>
      <w:bookmarkStart w:id="82" w:name="_Toc421861142"/>
      <w:r>
        <w:rPr>
          <w:rFonts w:hint="eastAsia" w:ascii="仿宋_GB2312" w:hAnsi="宋体" w:eastAsia="仿宋_GB2312" w:cs="宋体"/>
          <w:sz w:val="24"/>
          <w:szCs w:val="24"/>
        </w:rPr>
        <w:t>2.4“投标人”系指向</w:t>
      </w:r>
      <w:r>
        <w:rPr>
          <w:rFonts w:hint="eastAsia" w:ascii="仿宋_GB2312" w:hAnsi="宋体" w:eastAsia="仿宋_GB2312" w:cs="宋体"/>
          <w:color w:val="auto"/>
          <w:sz w:val="24"/>
          <w:szCs w:val="24"/>
          <w:highlight w:val="none"/>
          <w:lang w:eastAsia="zh-CN"/>
        </w:rPr>
        <w:t>招标代理</w:t>
      </w:r>
      <w:r>
        <w:rPr>
          <w:rFonts w:hint="eastAsia" w:ascii="仿宋_GB2312" w:hAnsi="宋体" w:eastAsia="仿宋_GB2312" w:cs="宋体"/>
          <w:sz w:val="24"/>
          <w:szCs w:val="24"/>
        </w:rPr>
        <w:t>购买招标文件且已经提交或准备提交本次投标文件的制造商或供货商。</w:t>
      </w:r>
      <w:bookmarkEnd w:id="80"/>
      <w:bookmarkEnd w:id="81"/>
      <w:bookmarkEnd w:id="82"/>
    </w:p>
    <w:p>
      <w:pPr>
        <w:pStyle w:val="5"/>
        <w:snapToGrid w:val="0"/>
        <w:spacing w:line="400" w:lineRule="exact"/>
        <w:ind w:firstLine="480" w:firstLineChars="200"/>
        <w:outlineLvl w:val="0"/>
        <w:rPr>
          <w:rFonts w:ascii="仿宋_GB2312" w:hAnsi="宋体" w:eastAsia="仿宋_GB2312" w:cs="宋体"/>
          <w:sz w:val="24"/>
          <w:szCs w:val="24"/>
        </w:rPr>
      </w:pPr>
      <w:bookmarkStart w:id="83" w:name="_Toc421861143"/>
      <w:bookmarkStart w:id="84" w:name="_Toc421861330"/>
      <w:bookmarkStart w:id="85" w:name="_Toc377051032"/>
      <w:r>
        <w:rPr>
          <w:rFonts w:hint="eastAsia" w:ascii="仿宋_GB2312" w:hAnsi="宋体" w:eastAsia="仿宋_GB2312" w:cs="宋体"/>
          <w:sz w:val="24"/>
          <w:szCs w:val="24"/>
        </w:rPr>
        <w:t>2.5“投标人代表”指全权代表投标人签署《投标文件》，参加招标投标活动的法定代表人或持有《法人委托授权书》的授权代理人。</w:t>
      </w:r>
      <w:bookmarkEnd w:id="83"/>
      <w:bookmarkEnd w:id="84"/>
      <w:bookmarkEnd w:id="85"/>
    </w:p>
    <w:p>
      <w:pPr>
        <w:pStyle w:val="5"/>
        <w:snapToGrid w:val="0"/>
        <w:spacing w:line="400" w:lineRule="exact"/>
        <w:ind w:firstLine="480" w:firstLineChars="200"/>
        <w:outlineLvl w:val="0"/>
        <w:rPr>
          <w:rFonts w:ascii="仿宋_GB2312" w:hAnsi="宋体" w:eastAsia="仿宋_GB2312" w:cs="宋体"/>
          <w:sz w:val="24"/>
          <w:szCs w:val="24"/>
        </w:rPr>
      </w:pPr>
      <w:bookmarkStart w:id="86" w:name="_Toc421861331"/>
      <w:bookmarkStart w:id="87" w:name="_Toc421861144"/>
      <w:bookmarkStart w:id="88" w:name="_Toc377051033"/>
      <w:r>
        <w:rPr>
          <w:rFonts w:hint="eastAsia" w:ascii="仿宋_GB2312" w:hAnsi="宋体" w:eastAsia="仿宋_GB2312" w:cs="宋体"/>
          <w:sz w:val="24"/>
          <w:szCs w:val="24"/>
        </w:rPr>
        <w:t>2.6 “货物”系指卖方按招标文件规定，须向买方提供的一切设备、材料、附件、备品备件、工具、手册及其它有关技术资料和材料。</w:t>
      </w:r>
      <w:bookmarkEnd w:id="86"/>
      <w:bookmarkEnd w:id="87"/>
      <w:bookmarkEnd w:id="88"/>
    </w:p>
    <w:p>
      <w:pPr>
        <w:pStyle w:val="5"/>
        <w:snapToGrid w:val="0"/>
        <w:spacing w:line="400" w:lineRule="exact"/>
        <w:ind w:firstLine="480" w:firstLineChars="200"/>
        <w:outlineLvl w:val="0"/>
        <w:rPr>
          <w:rFonts w:ascii="仿宋_GB2312" w:hAnsi="宋体" w:eastAsia="仿宋_GB2312" w:cs="宋体"/>
          <w:sz w:val="24"/>
          <w:szCs w:val="24"/>
        </w:rPr>
      </w:pPr>
      <w:bookmarkStart w:id="89" w:name="_Toc377051034"/>
      <w:bookmarkStart w:id="90" w:name="_Toc421861145"/>
      <w:bookmarkStart w:id="91" w:name="_Toc421861332"/>
      <w:r>
        <w:rPr>
          <w:rFonts w:hint="eastAsia" w:ascii="仿宋_GB2312" w:hAnsi="宋体" w:eastAsia="仿宋_GB2312" w:cs="宋体"/>
          <w:sz w:val="24"/>
          <w:szCs w:val="24"/>
        </w:rPr>
        <w:t>2.7“服务”系指招标文件规定卖方须承担的安装、调试、技术协助、校准、培训以及其他类似的义务。</w:t>
      </w:r>
      <w:bookmarkEnd w:id="89"/>
      <w:bookmarkEnd w:id="90"/>
      <w:bookmarkEnd w:id="91"/>
    </w:p>
    <w:p>
      <w:pPr>
        <w:pStyle w:val="5"/>
        <w:snapToGrid w:val="0"/>
        <w:spacing w:line="400" w:lineRule="exact"/>
        <w:ind w:firstLine="480" w:firstLineChars="200"/>
        <w:outlineLvl w:val="0"/>
        <w:rPr>
          <w:rFonts w:ascii="仿宋_GB2312" w:hAnsi="宋体" w:eastAsia="仿宋_GB2312" w:cs="宋体"/>
          <w:sz w:val="24"/>
          <w:szCs w:val="24"/>
        </w:rPr>
      </w:pPr>
      <w:bookmarkStart w:id="92" w:name="_Toc421861333"/>
      <w:bookmarkStart w:id="93" w:name="_Toc377051035"/>
      <w:bookmarkStart w:id="94" w:name="_Toc421861146"/>
      <w:r>
        <w:rPr>
          <w:rFonts w:hint="eastAsia" w:ascii="仿宋_GB2312" w:hAnsi="宋体" w:eastAsia="仿宋_GB2312" w:cs="宋体"/>
          <w:sz w:val="24"/>
          <w:szCs w:val="24"/>
        </w:rPr>
        <w:t>2.8“中标候选人”系指经过参与本次招标项目的评委审查、考评、推荐的候选人。</w:t>
      </w:r>
      <w:bookmarkEnd w:id="92"/>
      <w:bookmarkEnd w:id="93"/>
      <w:bookmarkEnd w:id="94"/>
    </w:p>
    <w:p>
      <w:pPr>
        <w:pStyle w:val="5"/>
        <w:snapToGrid w:val="0"/>
        <w:spacing w:line="400" w:lineRule="exact"/>
        <w:ind w:firstLine="480" w:firstLineChars="200"/>
        <w:outlineLvl w:val="0"/>
        <w:rPr>
          <w:rFonts w:ascii="仿宋_GB2312" w:hAnsi="宋体" w:eastAsia="仿宋_GB2312" w:cs="宋体"/>
          <w:sz w:val="24"/>
          <w:szCs w:val="24"/>
        </w:rPr>
      </w:pPr>
      <w:bookmarkStart w:id="95" w:name="_Toc421861147"/>
      <w:bookmarkStart w:id="96" w:name="_Toc421861334"/>
      <w:bookmarkStart w:id="97" w:name="_Toc377051036"/>
      <w:r>
        <w:rPr>
          <w:rFonts w:hint="eastAsia" w:ascii="仿宋_GB2312" w:hAnsi="宋体" w:eastAsia="仿宋_GB2312" w:cs="宋体"/>
          <w:sz w:val="24"/>
          <w:szCs w:val="24"/>
        </w:rPr>
        <w:t>2.9“中标人”系指持有招标代理机构签发的《中标通知书》，与</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签订《合同》的法人。</w:t>
      </w:r>
      <w:bookmarkEnd w:id="95"/>
      <w:bookmarkEnd w:id="96"/>
      <w:bookmarkEnd w:id="97"/>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3.合格的投标人</w:t>
      </w:r>
      <w:bookmarkEnd w:id="66"/>
      <w:bookmarkEnd w:id="67"/>
      <w:bookmarkEnd w:id="68"/>
      <w:bookmarkEnd w:id="69"/>
      <w:bookmarkEnd w:id="70"/>
      <w:bookmarkEnd w:id="71"/>
      <w:bookmarkEnd w:id="72"/>
      <w:bookmarkEnd w:id="73"/>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sz w:val="24"/>
          <w:szCs w:val="24"/>
        </w:rPr>
        <w:t>3.1凡有能力提供本招标文件所述货物及服务的，具有法人资格且符合《招标文件》投标人条件要求的</w:t>
      </w:r>
      <w:r>
        <w:rPr>
          <w:rFonts w:hint="eastAsia" w:ascii="仿宋_GB2312" w:hAnsi="宋体" w:eastAsia="仿宋_GB2312" w:cs="宋体"/>
          <w:color w:val="auto"/>
          <w:sz w:val="24"/>
          <w:szCs w:val="24"/>
        </w:rPr>
        <w:t>境内供货商或制造商均可能成为合格的投标人：</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highlight w:val="none"/>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w:t>
      </w:r>
      <w:r>
        <w:rPr>
          <w:rFonts w:hint="eastAsia" w:ascii="仿宋_GB2312" w:hAnsi="宋体" w:eastAsia="仿宋_GB2312" w:cs="宋体"/>
          <w:b/>
          <w:color w:val="auto"/>
          <w:sz w:val="24"/>
          <w:highlight w:val="none"/>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rPr>
        <w:t>，并提供</w:t>
      </w:r>
      <w:r>
        <w:rPr>
          <w:rFonts w:hint="eastAsia" w:ascii="仿宋_GB2312" w:hAnsi="宋体" w:eastAsia="仿宋_GB2312" w:cs="宋体"/>
          <w:color w:val="auto"/>
          <w:sz w:val="24"/>
        </w:rPr>
        <w:t>合格有效的营业执照复印件</w:t>
      </w:r>
      <w:r>
        <w:rPr>
          <w:rFonts w:hint="eastAsia" w:ascii="仿宋_GB2312" w:hAnsi="宋体" w:eastAsia="仿宋_GB2312" w:cs="宋体"/>
          <w:color w:val="auto"/>
          <w:sz w:val="24"/>
          <w:szCs w:val="22"/>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3.2一个投标人只能提交一个投标文件。但如果投标人之间存在下列互为关联关系的情形之一的，不得同时参加本项目投标：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 法定代表人为同一人的两个及两个以上法人；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 母公司、直接或间接持股50％及以上的被投资公司；</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 均为同一家母公司直接或间接持股50％及以上的被投资公司。</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3.3受托为整体招标项目或其中分项的前期工作提供可行性研究、设计、编制规范、进行管理等服务的法人及其附属机构（单位），不得再参加该整体项目及其所有分项目的招标活动；凡为分项目提供上述服务的法人及其附属机构（单位），不得再参加该分项目的招标活动。</w:t>
      </w:r>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投标人有责任对以上涉及3.2和3.3的情形做出声明，否则投标被拒绝。</w:t>
      </w:r>
      <w:r>
        <w:rPr>
          <w:rFonts w:hint="eastAsia" w:ascii="仿宋_GB2312" w:hAnsi="宋体" w:eastAsia="仿宋_GB2312" w:cs="宋体"/>
          <w:b/>
          <w:sz w:val="24"/>
          <w:szCs w:val="24"/>
          <w:highlight w:val="none"/>
          <w:u w:val="single"/>
          <w:lang w:eastAsia="zh-CN"/>
        </w:rPr>
        <w:t>（</w:t>
      </w:r>
      <w:r>
        <w:rPr>
          <w:rFonts w:hint="eastAsia" w:ascii="宋体" w:hAnsi="宋体"/>
          <w:b/>
          <w:bCs w:val="0"/>
          <w:szCs w:val="21"/>
          <w:highlight w:val="none"/>
        </w:rPr>
        <w:t>投标人应如实披露关联关系单位，投标过程中如发现各投标人之间存在关联关系，招标人有权取消有关联关系的投标人参与本项目的资格或重新组织招标。</w:t>
      </w:r>
      <w:r>
        <w:rPr>
          <w:rFonts w:hint="eastAsia" w:ascii="宋体" w:hAnsi="宋体"/>
          <w:b/>
          <w:bCs w:val="0"/>
          <w:szCs w:val="21"/>
          <w:highlight w:val="none"/>
          <w:lang w:eastAsia="zh-CN"/>
        </w:rPr>
        <w:t>）</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4.投标费用</w:t>
      </w:r>
      <w:bookmarkEnd w:id="44"/>
      <w:bookmarkEnd w:id="45"/>
      <w:bookmarkEnd w:id="46"/>
      <w:bookmarkEnd w:id="47"/>
      <w:bookmarkEnd w:id="48"/>
      <w:bookmarkEnd w:id="49"/>
      <w:bookmarkEnd w:id="50"/>
      <w:bookmarkEnd w:id="51"/>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4.1无论投标过程中的作法和结果如何、投标人自行承担所有与参加投标有关的全部费用。</w:t>
      </w:r>
      <w:bookmarkStart w:id="98" w:name="_Toc209947025"/>
      <w:bookmarkStart w:id="99" w:name="_Toc421861335"/>
      <w:bookmarkStart w:id="100" w:name="_Toc377051037"/>
    </w:p>
    <w:p>
      <w:pPr>
        <w:pStyle w:val="2"/>
        <w:rPr>
          <w:rFonts w:hint="eastAsia"/>
        </w:rPr>
      </w:pPr>
    </w:p>
    <w:p>
      <w:pPr>
        <w:pStyle w:val="4"/>
        <w:rPr>
          <w:rFonts w:hAnsi="宋体" w:cs="宋体"/>
          <w:sz w:val="28"/>
          <w:szCs w:val="28"/>
        </w:rPr>
      </w:pPr>
      <w:r>
        <w:rPr>
          <w:rFonts w:hint="eastAsia" w:hAnsi="宋体" w:cs="宋体"/>
          <w:sz w:val="28"/>
          <w:szCs w:val="28"/>
        </w:rPr>
        <w:t>二、招标文件</w:t>
      </w:r>
      <w:bookmarkEnd w:id="98"/>
      <w:bookmarkEnd w:id="99"/>
      <w:bookmarkEnd w:id="100"/>
    </w:p>
    <w:p>
      <w:pPr>
        <w:spacing w:line="400" w:lineRule="exact"/>
        <w:rPr>
          <w:rFonts w:ascii="仿宋_GB2312" w:hAnsi="宋体" w:eastAsia="仿宋_GB2312" w:cs="宋体"/>
          <w:b/>
          <w:sz w:val="24"/>
          <w:szCs w:val="24"/>
        </w:rPr>
      </w:pPr>
      <w:bookmarkStart w:id="101" w:name="_Toc430422412"/>
      <w:bookmarkStart w:id="102" w:name="_Toc209947026"/>
      <w:bookmarkStart w:id="103" w:name="_Toc430492125"/>
      <w:bookmarkStart w:id="104" w:name="_Toc430489118"/>
      <w:bookmarkStart w:id="105" w:name="_Toc430488643"/>
      <w:bookmarkStart w:id="106" w:name="_Toc430488850"/>
      <w:bookmarkStart w:id="107" w:name="_Toc415567496"/>
      <w:bookmarkStart w:id="108" w:name="_Toc430490611"/>
      <w:r>
        <w:rPr>
          <w:rFonts w:hint="eastAsia" w:ascii="仿宋_GB2312" w:hAnsi="宋体" w:eastAsia="仿宋_GB2312" w:cs="宋体"/>
          <w:b/>
          <w:sz w:val="24"/>
          <w:szCs w:val="24"/>
        </w:rPr>
        <w:t>5.招标文件的组成</w:t>
      </w:r>
      <w:bookmarkEnd w:id="101"/>
      <w:bookmarkEnd w:id="102"/>
      <w:bookmarkEnd w:id="103"/>
      <w:bookmarkEnd w:id="104"/>
      <w:bookmarkEnd w:id="105"/>
      <w:bookmarkEnd w:id="106"/>
      <w:bookmarkEnd w:id="107"/>
      <w:bookmarkEnd w:id="108"/>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5.1招标文件用以阐明所需货物及服务招标程序和合同主要条款。招标文件由下述部分组成：</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⑴ 投标邀请</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⑵ 招标内容及要求</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⑶ 投标人须知</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⑷ 合同主要条款</w:t>
      </w:r>
    </w:p>
    <w:p>
      <w:pPr>
        <w:spacing w:line="400" w:lineRule="exact"/>
        <w:ind w:firstLine="720" w:firstLineChars="300"/>
        <w:rPr>
          <w:rFonts w:ascii="仿宋_GB2312" w:hAnsi="宋体" w:eastAsia="仿宋_GB2312" w:cs="宋体"/>
          <w:sz w:val="24"/>
          <w:szCs w:val="24"/>
        </w:rPr>
      </w:pPr>
      <w:r>
        <w:rPr>
          <w:rFonts w:hint="eastAsia" w:ascii="仿宋_GB2312" w:hAnsi="宋体" w:eastAsia="仿宋_GB2312" w:cs="宋体"/>
          <w:sz w:val="24"/>
          <w:szCs w:val="24"/>
        </w:rPr>
        <w:t>⑸ 投标文件格式</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5.2 除非有特殊要求，招标文件不单独提供招标货物使用地的自然环境、气候条件、公用设施等情况，投标人被视为熟悉上述与履行合同有关的一切情况。</w:t>
      </w:r>
    </w:p>
    <w:p>
      <w:pPr>
        <w:spacing w:line="400" w:lineRule="exact"/>
        <w:rPr>
          <w:rFonts w:ascii="仿宋_GB2312" w:hAnsi="宋体" w:eastAsia="仿宋_GB2312" w:cs="宋体"/>
          <w:b/>
          <w:sz w:val="24"/>
          <w:szCs w:val="24"/>
        </w:rPr>
      </w:pPr>
      <w:bookmarkStart w:id="109" w:name="_Hlt81628348"/>
      <w:bookmarkEnd w:id="109"/>
      <w:bookmarkStart w:id="110" w:name="_Toc430488644"/>
      <w:bookmarkStart w:id="111" w:name="_Toc430422413"/>
      <w:bookmarkStart w:id="112" w:name="_Toc415567497"/>
      <w:bookmarkStart w:id="113" w:name="_Toc430492126"/>
      <w:bookmarkStart w:id="114" w:name="_Toc430490612"/>
      <w:bookmarkStart w:id="115" w:name="_Toc430488851"/>
      <w:bookmarkStart w:id="116" w:name="_Toc430489119"/>
      <w:bookmarkStart w:id="117" w:name="_Toc209947027"/>
      <w:r>
        <w:rPr>
          <w:rFonts w:hint="eastAsia" w:ascii="仿宋_GB2312" w:hAnsi="宋体" w:eastAsia="仿宋_GB2312" w:cs="宋体"/>
          <w:b/>
          <w:sz w:val="24"/>
          <w:szCs w:val="24"/>
        </w:rPr>
        <w:t>6.招标文件的澄清</w:t>
      </w:r>
      <w:bookmarkEnd w:id="110"/>
      <w:bookmarkEnd w:id="111"/>
      <w:bookmarkEnd w:id="112"/>
      <w:bookmarkEnd w:id="113"/>
      <w:bookmarkEnd w:id="114"/>
      <w:bookmarkEnd w:id="115"/>
      <w:bookmarkEnd w:id="116"/>
      <w:bookmarkEnd w:id="117"/>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6.1投标人对招标文件如有疑点，可要求澄清。要求澄清应按投标邀请中载明的地址以书面形式（包括信函、电报或传真，下同）通知招标人。招标人将视情况在投标截止时间15个日历日（如至原定截止时间不足15个日历日，则需延长开标时间）前将不标明查询来源的书面答复发给所有购买招标文件的投标人，并在招标信息发布的媒体上发布更正公告。该澄清内容为招标文件的组成部分。</w:t>
      </w:r>
    </w:p>
    <w:p>
      <w:pPr>
        <w:spacing w:line="400" w:lineRule="exact"/>
        <w:rPr>
          <w:rFonts w:ascii="仿宋_GB2312" w:hAnsi="宋体" w:eastAsia="仿宋_GB2312" w:cs="宋体"/>
          <w:b/>
          <w:sz w:val="24"/>
          <w:szCs w:val="24"/>
        </w:rPr>
      </w:pPr>
      <w:bookmarkStart w:id="118" w:name="_Toc415567498"/>
      <w:bookmarkStart w:id="119" w:name="_Toc209947028"/>
      <w:bookmarkStart w:id="120" w:name="_Toc430490613"/>
      <w:bookmarkStart w:id="121" w:name="_Toc430488852"/>
      <w:bookmarkStart w:id="122" w:name="_Toc430488645"/>
      <w:bookmarkStart w:id="123" w:name="_Toc430492127"/>
      <w:bookmarkStart w:id="124" w:name="_Toc430422414"/>
      <w:bookmarkStart w:id="125" w:name="_Toc430489120"/>
      <w:r>
        <w:rPr>
          <w:rFonts w:hint="eastAsia" w:ascii="仿宋_GB2312" w:hAnsi="宋体" w:eastAsia="仿宋_GB2312" w:cs="宋体"/>
          <w:b/>
          <w:sz w:val="24"/>
          <w:szCs w:val="24"/>
        </w:rPr>
        <w:t>7.招标文件的修改</w:t>
      </w:r>
      <w:bookmarkEnd w:id="118"/>
      <w:bookmarkEnd w:id="119"/>
      <w:bookmarkEnd w:id="120"/>
      <w:bookmarkEnd w:id="121"/>
      <w:bookmarkEnd w:id="122"/>
      <w:bookmarkEnd w:id="123"/>
      <w:bookmarkEnd w:id="124"/>
      <w:bookmarkEnd w:id="125"/>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7.1</w:t>
      </w:r>
      <w:r>
        <w:rPr>
          <w:rFonts w:hint="eastAsia" w:ascii="仿宋_GB2312" w:hAnsi="宋体" w:eastAsia="仿宋_GB2312" w:cs="宋体"/>
          <w:sz w:val="24"/>
          <w:szCs w:val="24"/>
          <w:lang w:eastAsia="zh-CN"/>
        </w:rPr>
        <w:t>采购</w:t>
      </w:r>
      <w:r>
        <w:rPr>
          <w:rFonts w:hint="eastAsia" w:ascii="仿宋_GB2312" w:hAnsi="宋体" w:eastAsia="仿宋_GB2312" w:cs="宋体"/>
          <w:sz w:val="24"/>
          <w:szCs w:val="24"/>
        </w:rPr>
        <w:t>人可主动或依投标人要求澄清的问题而修改招标文件，修改通知（包括有关本项目招标的相关信息）在</w:t>
      </w:r>
      <w:r>
        <w:rPr>
          <w:rFonts w:hint="eastAsia" w:ascii="仿宋_GB2312" w:hAnsi="宋体" w:eastAsia="仿宋_GB2312" w:cs="宋体"/>
          <w:sz w:val="24"/>
          <w:szCs w:val="22"/>
          <w:lang w:eastAsia="zh-CN"/>
        </w:rPr>
        <w:t>泉州市应急管理局</w:t>
      </w:r>
      <w:r>
        <w:rPr>
          <w:rFonts w:hint="eastAsia" w:ascii="仿宋_GB2312" w:hAnsi="宋体" w:eastAsia="仿宋_GB2312" w:cs="宋体"/>
          <w:sz w:val="24"/>
          <w:szCs w:val="22"/>
        </w:rPr>
        <w:t>官方网站</w:t>
      </w:r>
      <w:r>
        <w:rPr>
          <w:rFonts w:hint="eastAsia" w:ascii="仿宋_GB2312" w:hAnsi="宋体" w:eastAsia="仿宋_GB2312" w:cs="宋体"/>
          <w:sz w:val="24"/>
          <w:szCs w:val="22"/>
          <w:lang w:eastAsia="zh-CN"/>
        </w:rPr>
        <w:t>（http://yjj.quanzhou.gov.cn/）</w:t>
      </w:r>
      <w:r>
        <w:rPr>
          <w:rFonts w:hint="eastAsia" w:ascii="仿宋_GB2312" w:hAnsi="宋体" w:eastAsia="仿宋_GB2312" w:cs="宋体"/>
          <w:sz w:val="24"/>
          <w:szCs w:val="24"/>
        </w:rPr>
        <w:t>发布，并按投标人购买招标文件时提供的电话、传真或邮箱以书面形式通知，投标人在收到该通知后应立即以电报或传真的形式予以确认。该修改内容为招标文件的组成部分，对各方具有约束力。但本招标文件第7.2条规定的推迟投标截止时间和开标时间情形不受本条约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7.2 为使投标人在准备投标文件时有合理的时间考虑招标文件的修改，招标人可酌情推迟投标截止时间和开标时间，但应当至少在投标截止时间三个日历日前将变更时间以书面形式通知所有购买招标文件的投标人，并在招标信息发布的媒体上发布更正公告。该修改内容为招标文件的组成部分。在此情况下，招标人和投标人受投标截止期制约的所有权利和义务均应延长至新的截止日期。 </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7.3 招标文件的修改书将构成招标文件的一部分，对投标人有约束力。</w:t>
      </w:r>
      <w:bookmarkStart w:id="126" w:name="_Toc209947029"/>
    </w:p>
    <w:p>
      <w:pPr>
        <w:pStyle w:val="2"/>
        <w:rPr>
          <w:rFonts w:hint="eastAsia" w:ascii="仿宋_GB2312" w:hAnsi="宋体" w:eastAsia="仿宋_GB2312" w:cs="宋体"/>
          <w:sz w:val="24"/>
          <w:szCs w:val="24"/>
        </w:rPr>
      </w:pPr>
    </w:p>
    <w:p>
      <w:pPr>
        <w:pStyle w:val="2"/>
        <w:rPr>
          <w:rFonts w:hint="eastAsia" w:ascii="仿宋_GB2312" w:hAnsi="宋体" w:eastAsia="仿宋_GB2312" w:cs="宋体"/>
          <w:sz w:val="24"/>
          <w:szCs w:val="24"/>
        </w:rPr>
      </w:pPr>
    </w:p>
    <w:p>
      <w:pPr>
        <w:pStyle w:val="4"/>
        <w:rPr>
          <w:rFonts w:hAnsi="宋体" w:cs="宋体"/>
          <w:sz w:val="28"/>
          <w:szCs w:val="28"/>
        </w:rPr>
      </w:pPr>
      <w:bookmarkStart w:id="127" w:name="_Toc421861336"/>
      <w:bookmarkStart w:id="128" w:name="_Toc377051038"/>
      <w:r>
        <w:rPr>
          <w:rFonts w:hint="eastAsia" w:hAnsi="宋体" w:cs="宋体"/>
          <w:sz w:val="28"/>
          <w:szCs w:val="28"/>
        </w:rPr>
        <w:t>三、 投标文件的编写</w:t>
      </w:r>
      <w:bookmarkEnd w:id="126"/>
      <w:bookmarkEnd w:id="127"/>
      <w:bookmarkEnd w:id="128"/>
    </w:p>
    <w:p>
      <w:pPr>
        <w:spacing w:line="400" w:lineRule="exact"/>
        <w:rPr>
          <w:rFonts w:ascii="仿宋_GB2312" w:hAnsi="宋体" w:eastAsia="仿宋_GB2312" w:cs="宋体"/>
          <w:b/>
          <w:sz w:val="24"/>
          <w:szCs w:val="24"/>
        </w:rPr>
      </w:pPr>
      <w:bookmarkStart w:id="129" w:name="_Hlt81628366"/>
      <w:bookmarkEnd w:id="129"/>
      <w:bookmarkStart w:id="130" w:name="_Toc209947030"/>
      <w:r>
        <w:rPr>
          <w:rFonts w:hint="eastAsia" w:ascii="仿宋_GB2312" w:hAnsi="宋体" w:eastAsia="仿宋_GB2312" w:cs="宋体"/>
          <w:b/>
          <w:sz w:val="24"/>
          <w:szCs w:val="24"/>
        </w:rPr>
        <w:t>8.要求</w:t>
      </w:r>
      <w:bookmarkEnd w:id="13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8.1投标人应仔细阅读招标文件的所有内容，按照招标文件的要求提交投标文件。投标文件应对招标文件的要求作出实质性响应，并保证所提供的全部资料的真实性，否则其投标将被拒绝。</w:t>
      </w:r>
    </w:p>
    <w:p>
      <w:pPr>
        <w:spacing w:line="400" w:lineRule="exact"/>
        <w:rPr>
          <w:rFonts w:ascii="仿宋_GB2312" w:hAnsi="宋体" w:eastAsia="仿宋_GB2312" w:cs="宋体"/>
          <w:b/>
          <w:sz w:val="24"/>
          <w:szCs w:val="24"/>
        </w:rPr>
      </w:pPr>
      <w:bookmarkStart w:id="131" w:name="_Toc209947031"/>
      <w:r>
        <w:rPr>
          <w:rFonts w:hint="eastAsia" w:ascii="仿宋_GB2312" w:hAnsi="宋体" w:eastAsia="仿宋_GB2312" w:cs="宋体"/>
          <w:b/>
          <w:sz w:val="24"/>
          <w:szCs w:val="24"/>
        </w:rPr>
        <w:t>9.投标文件语言</w:t>
      </w:r>
      <w:bookmarkEnd w:id="131"/>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9.1投标文件应用中文书写。投标文件中所附或所引用的原件不是中文时，应附中文译本。各种计量单位及符号应采用国际上统一使用的公制计量单位和符号。</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9.2招标文件中的资格或技术商务要求中涉及的投标人提供的证明文件原件属于非中文描述的，必须要求提供具有翻译资质的机构翻译的中文译本。未按招标文件要求提供中文译本的，认定为该项资格或技术商务要求不符合。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spacing w:line="360" w:lineRule="exact"/>
        <w:rPr>
          <w:rFonts w:ascii="仿宋_GB2312" w:hAnsi="宋体" w:eastAsia="仿宋_GB2312" w:cs="宋体"/>
          <w:b/>
          <w:sz w:val="24"/>
        </w:rPr>
      </w:pPr>
      <w:bookmarkStart w:id="132" w:name="_Toc377051040"/>
      <w:bookmarkStart w:id="133" w:name="_Toc209947033"/>
      <w:r>
        <w:rPr>
          <w:rFonts w:hint="eastAsia" w:ascii="仿宋_GB2312" w:hAnsi="宋体" w:eastAsia="仿宋_GB2312" w:cs="宋体"/>
          <w:b/>
          <w:sz w:val="24"/>
        </w:rPr>
        <w:t>10.投标文件的组成</w:t>
      </w:r>
    </w:p>
    <w:p>
      <w:pPr>
        <w:spacing w:line="360" w:lineRule="exact"/>
        <w:ind w:firstLine="360" w:firstLineChars="150"/>
        <w:rPr>
          <w:rFonts w:ascii="仿宋_GB2312" w:hAnsi="宋体" w:eastAsia="仿宋_GB2312" w:cs="宋体"/>
          <w:sz w:val="24"/>
        </w:rPr>
      </w:pPr>
      <w:r>
        <w:rPr>
          <w:rFonts w:hint="eastAsia" w:ascii="仿宋_GB2312" w:hAnsi="宋体" w:eastAsia="仿宋_GB2312" w:cs="宋体"/>
          <w:sz w:val="24"/>
        </w:rPr>
        <w:t>10.1投标文件技术商务部分</w:t>
      </w:r>
      <w:r>
        <w:rPr>
          <w:rFonts w:hint="eastAsia" w:ascii="仿宋_GB2312" w:hAnsi="宋体" w:eastAsia="仿宋_GB2312" w:cs="宋体"/>
          <w:b/>
          <w:sz w:val="24"/>
        </w:rPr>
        <w:t>（单独编制装订，胶装成册并密封）:</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 投标书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 技术规格和商务偏离表</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 服务说明一览表</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 投标一览表（详附件1投标一览表格式）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 投标人资格证明文件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1、关于资格的声明函</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2、投标人的资格声明</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3、法定代表人授权书原件</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4、投标人代表合格有效的身份证复印件</w:t>
      </w:r>
      <w:r>
        <w:rPr>
          <w:rFonts w:hint="eastAsia" w:ascii="仿宋_GB2312" w:hAnsi="宋体" w:eastAsia="仿宋_GB2312" w:cs="宋体"/>
          <w:b/>
          <w:color w:val="auto"/>
          <w:sz w:val="24"/>
          <w:u w:val="single"/>
        </w:rPr>
        <w:t>（开标前递交文件时提供身份证原件核对，否则为无效投标）</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5、合格有效的税务登记证复印件（三证合一的不需要提供）；</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ind w:firstLine="480" w:firstLineChars="200"/>
        <w:rPr>
          <w:rFonts w:ascii="仿宋_GB2312" w:hAnsi="宋体" w:eastAsia="仿宋_GB2312" w:cs="宋体"/>
          <w:color w:val="auto"/>
          <w:sz w:val="24"/>
        </w:rPr>
      </w:pPr>
      <w:r>
        <w:rPr>
          <w:rFonts w:hint="eastAsia" w:ascii="仿宋_GB2312" w:hAnsi="宋体" w:eastAsia="仿宋_GB2312" w:cs="宋体"/>
          <w:color w:val="auto"/>
          <w:sz w:val="24"/>
        </w:rPr>
        <w:t>7、投标截止时间前半年内连续三个月投标人为投标人代表缴纳社会保险的证明材料</w:t>
      </w:r>
      <w:r>
        <w:rPr>
          <w:rFonts w:hint="eastAsia" w:ascii="仿宋_GB2312" w:hAnsi="宋体" w:eastAsia="仿宋_GB2312"/>
          <w:color w:val="auto"/>
          <w:sz w:val="24"/>
          <w:szCs w:val="24"/>
        </w:rPr>
        <w:t>（税务部门或社保机构出具）</w:t>
      </w:r>
      <w:r>
        <w:rPr>
          <w:rFonts w:hint="eastAsia" w:ascii="仿宋_GB2312" w:hAnsi="宋体" w:eastAsia="仿宋_GB2312" w:cs="宋体"/>
          <w:color w:val="auto"/>
          <w:sz w:val="24"/>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8</w:t>
      </w:r>
      <w:r>
        <w:rPr>
          <w:rFonts w:hint="eastAsia" w:ascii="仿宋_GB2312" w:hAnsi="宋体" w:eastAsia="仿宋_GB2312" w:cs="宋体"/>
          <w:color w:val="auto"/>
          <w:sz w:val="24"/>
        </w:rPr>
        <w:t>、</w:t>
      </w:r>
      <w:r>
        <w:rPr>
          <w:rFonts w:hint="eastAsia" w:ascii="仿宋_GB2312" w:hAnsi="宋体" w:eastAsia="仿宋_GB2312" w:cs="宋体"/>
          <w:color w:val="auto"/>
          <w:sz w:val="24"/>
          <w:highlight w:val="none"/>
          <w:lang w:eastAsia="zh-CN"/>
        </w:rPr>
        <w:t>在鲤城区或丰泽区设有分支机构的市级国有商业银行、股份制商业银行、城市商业银行、农村商业银行和邮政储蓄银行</w:t>
      </w:r>
      <w:r>
        <w:rPr>
          <w:rFonts w:hint="eastAsia" w:ascii="仿宋_GB2312" w:hAnsi="宋体" w:eastAsia="仿宋_GB2312" w:cs="宋体"/>
          <w:color w:val="auto"/>
          <w:sz w:val="24"/>
          <w:szCs w:val="22"/>
          <w:highlight w:val="none"/>
        </w:rPr>
        <w:t>，并提供</w:t>
      </w:r>
      <w:r>
        <w:rPr>
          <w:rFonts w:hint="eastAsia" w:ascii="仿宋_GB2312" w:hAnsi="宋体" w:eastAsia="仿宋_GB2312" w:cs="宋体"/>
          <w:color w:val="auto"/>
          <w:sz w:val="24"/>
          <w:highlight w:val="none"/>
        </w:rPr>
        <w:t>合格有效的营业执照复印件</w:t>
      </w:r>
      <w:r>
        <w:rPr>
          <w:rFonts w:hint="eastAsia" w:ascii="仿宋_GB2312" w:hAnsi="宋体" w:eastAsia="仿宋_GB2312" w:cs="宋体"/>
          <w:color w:val="auto"/>
          <w:sz w:val="24"/>
          <w:szCs w:val="22"/>
          <w:highlight w:val="none"/>
        </w:rPr>
        <w:t>。</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9</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依法开展经营活动，近3年内在经营活动中无重大违法违规记录，信誉良好，人民银行年度综合评价B级（含B级）以上。(提供证明材料复印件)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10</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财务稳健，资本充足率、不良贷款率、拨备覆盖率、流动性覆盖率、流动性比例等指标达到监管标准。(提供证明材料复印件)</w:t>
      </w:r>
    </w:p>
    <w:p>
      <w:pPr>
        <w:spacing w:line="360" w:lineRule="exact"/>
        <w:ind w:firstLine="480" w:firstLineChars="200"/>
        <w:rPr>
          <w:rFonts w:ascii="仿宋_GB2312" w:hAnsi="宋体" w:eastAsia="仿宋_GB2312" w:cs="宋体"/>
          <w:color w:val="auto"/>
          <w:sz w:val="24"/>
          <w:szCs w:val="22"/>
        </w:rPr>
      </w:pPr>
      <w:r>
        <w:rPr>
          <w:rFonts w:hint="eastAsia" w:ascii="仿宋_GB2312" w:hAnsi="宋体" w:eastAsia="仿宋_GB2312" w:cs="宋体"/>
          <w:color w:val="auto"/>
          <w:sz w:val="24"/>
          <w:szCs w:val="22"/>
        </w:rPr>
        <w:t>11</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内部管理机制健全，具有较强的风险控制能力，近3年内未发生金融风险及重大违约事件。(提供证明材料复印件)</w:t>
      </w:r>
    </w:p>
    <w:p>
      <w:pPr>
        <w:spacing w:line="360" w:lineRule="exact"/>
        <w:ind w:firstLine="480" w:firstLineChars="200"/>
        <w:rPr>
          <w:rFonts w:ascii="仿宋_GB2312" w:eastAsia="仿宋_GB2312"/>
          <w:color w:val="auto"/>
          <w:sz w:val="32"/>
          <w:szCs w:val="32"/>
        </w:rPr>
      </w:pPr>
      <w:r>
        <w:rPr>
          <w:rFonts w:hint="eastAsia" w:ascii="仿宋_GB2312" w:hAnsi="宋体" w:eastAsia="仿宋_GB2312" w:cs="宋体"/>
          <w:color w:val="auto"/>
          <w:sz w:val="24"/>
          <w:szCs w:val="22"/>
        </w:rPr>
        <w:t>12</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总行总资产规模（</w:t>
      </w:r>
      <w:r>
        <w:rPr>
          <w:rFonts w:hint="eastAsia" w:ascii="仿宋_GB2312" w:hAnsi="宋体" w:eastAsia="仿宋_GB2312" w:cs="宋体"/>
          <w:color w:val="auto"/>
          <w:sz w:val="24"/>
          <w:szCs w:val="22"/>
          <w:lang w:val="en-US" w:eastAsia="zh-CN"/>
        </w:rPr>
        <w:t>2019年</w:t>
      </w:r>
      <w:r>
        <w:rPr>
          <w:rFonts w:hint="eastAsia" w:ascii="仿宋_GB2312" w:hAnsi="宋体" w:eastAsia="仿宋_GB2312" w:cs="宋体"/>
          <w:color w:val="auto"/>
          <w:sz w:val="24"/>
          <w:szCs w:val="22"/>
        </w:rPr>
        <w:t>）小于10000亿元或在泉州总资产规模小于1000亿元的银行，必须以可流通国债为质押，质押的国债为定期存款金额的105%。（以承诺函形式进行声明，格式自拟）</w:t>
      </w:r>
    </w:p>
    <w:p>
      <w:pPr>
        <w:spacing w:line="360" w:lineRule="exact"/>
        <w:ind w:firstLine="480" w:firstLineChars="200"/>
        <w:rPr>
          <w:rFonts w:ascii="仿宋_GB2312" w:hAnsi="宋体" w:eastAsia="仿宋_GB2312" w:cs="宋体"/>
          <w:sz w:val="24"/>
        </w:rPr>
      </w:pPr>
    </w:p>
    <w:p>
      <w:pPr>
        <w:spacing w:line="360" w:lineRule="exact"/>
        <w:ind w:firstLine="843" w:firstLineChars="350"/>
        <w:rPr>
          <w:rFonts w:ascii="仿宋_GB2312" w:hAnsi="宋体" w:eastAsia="仿宋_GB2312" w:cs="宋体"/>
          <w:b/>
          <w:sz w:val="24"/>
          <w:u w:val="single"/>
        </w:rPr>
      </w:pPr>
      <w:r>
        <w:rPr>
          <w:rFonts w:hint="eastAsia" w:ascii="仿宋_GB2312" w:hAnsi="宋体" w:eastAsia="仿宋_GB2312" w:cs="宋体"/>
          <w:b/>
          <w:sz w:val="24"/>
          <w:u w:val="single"/>
        </w:rPr>
        <w:t>注：以上所有证明文件复印件须加盖投标人公章（加盖其他“如合同章、投标专用章“等均无效）。</w:t>
      </w:r>
    </w:p>
    <w:p>
      <w:pPr>
        <w:spacing w:line="360" w:lineRule="exact"/>
        <w:ind w:firstLine="472" w:firstLineChars="196"/>
        <w:rPr>
          <w:rFonts w:ascii="仿宋_GB2312" w:hAnsi="宋体" w:eastAsia="仿宋_GB2312" w:cs="宋体"/>
          <w:sz w:val="24"/>
          <w:u w:val="single"/>
        </w:rPr>
      </w:pPr>
      <w:r>
        <w:rPr>
          <w:rFonts w:hint="eastAsia" w:ascii="仿宋_GB2312" w:hAnsi="宋体" w:eastAsia="仿宋_GB2312" w:cs="宋体"/>
          <w:b/>
          <w:sz w:val="24"/>
          <w:u w:val="single"/>
        </w:rPr>
        <w:t>以上 1—12的资格证明是对合格投标人的要求，均作为评标专家评标的资格审查。若投标人的以上的资格证明文件不完整或不合格，其投标将以无效标处理。</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 技术及商务应答</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(7) 投标人提交的其它资料</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(8) 招标代理服务费承诺书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(9) 投标保证金缴纳凭证复印件</w:t>
      </w:r>
    </w:p>
    <w:p>
      <w:pPr>
        <w:spacing w:line="360" w:lineRule="exact"/>
        <w:rPr>
          <w:rFonts w:ascii="仿宋_GB2312" w:hAnsi="宋体" w:eastAsia="仿宋_GB2312" w:cs="宋体"/>
          <w:b/>
          <w:sz w:val="24"/>
        </w:rPr>
      </w:pPr>
      <w:r>
        <w:rPr>
          <w:rFonts w:hint="eastAsia" w:ascii="仿宋_GB2312" w:hAnsi="宋体" w:eastAsia="仿宋_GB2312" w:cs="宋体"/>
          <w:b/>
          <w:sz w:val="24"/>
        </w:rPr>
        <w:t>10.2投标文件的制作方式</w:t>
      </w:r>
    </w:p>
    <w:p>
      <w:pPr>
        <w:spacing w:line="360" w:lineRule="exact"/>
        <w:ind w:left="2" w:leftChars="1" w:firstLine="482" w:firstLineChars="200"/>
        <w:rPr>
          <w:rFonts w:ascii="仿宋_GB2312" w:hAnsi="宋体" w:eastAsia="仿宋_GB2312" w:cs="宋体"/>
          <w:b/>
          <w:sz w:val="24"/>
        </w:rPr>
      </w:pPr>
      <w:r>
        <w:rPr>
          <w:rFonts w:hint="eastAsia" w:ascii="仿宋_GB2312" w:hAnsi="宋体" w:eastAsia="仿宋_GB2312" w:cs="宋体"/>
          <w:b/>
          <w:sz w:val="24"/>
        </w:rPr>
        <w:t>（1）投标文件的“技术商务部分”必须分别胶装成册；（未按要求提交的投标文件按无效标处理）</w:t>
      </w:r>
    </w:p>
    <w:p>
      <w:pPr>
        <w:spacing w:line="360" w:lineRule="exact"/>
        <w:ind w:left="1" w:firstLine="479" w:firstLineChars="199"/>
        <w:rPr>
          <w:rFonts w:ascii="仿宋_GB2312" w:hAnsi="宋体" w:eastAsia="仿宋_GB2312" w:cs="宋体"/>
          <w:b/>
          <w:sz w:val="24"/>
        </w:rPr>
      </w:pPr>
      <w:r>
        <w:rPr>
          <w:rFonts w:hint="eastAsia" w:ascii="仿宋_GB2312" w:hAnsi="宋体" w:eastAsia="仿宋_GB2312" w:cs="宋体"/>
          <w:b/>
          <w:sz w:val="24"/>
        </w:rPr>
        <w:t>（2）编写“投标文件目录清单”，并在投标文件的骑缝加盖公章，分册密封提交；</w:t>
      </w:r>
      <w:r>
        <w:rPr>
          <w:rFonts w:hint="eastAsia" w:ascii="仿宋_GB2312" w:hAnsi="宋体" w:eastAsia="仿宋_GB2312" w:cs="宋体"/>
          <w:b/>
          <w:sz w:val="24"/>
          <w:u w:val="single"/>
        </w:rPr>
        <w:t>（投标文件加盖的公章必须是与营业执照上公司名称相一致，加盖其他“如合同章、投标专用章”等均无效）</w:t>
      </w:r>
    </w:p>
    <w:p>
      <w:pPr>
        <w:spacing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3）投标人须提供投标文件正本一份，副本五份，电子版投标文件一份，（含WORD格式技术商务部分，以光盘或U盘的形式密封提交，提交的光盘或U盘不退回）。正本必须用A4幅面纸张打印胶装，副本可以用正本的完整复印件，并在封面标明“正本”、“副本”字样。正本与副本如有不一致，则以正本为准。</w:t>
      </w:r>
    </w:p>
    <w:p>
      <w:pPr>
        <w:pStyle w:val="5"/>
        <w:snapToGrid w:val="0"/>
        <w:spacing w:line="400" w:lineRule="exact"/>
        <w:ind w:firstLine="0"/>
        <w:outlineLvl w:val="0"/>
        <w:rPr>
          <w:rFonts w:ascii="仿宋_GB2312" w:hAnsi="宋体" w:eastAsia="仿宋_GB2312" w:cs="宋体"/>
          <w:b/>
          <w:sz w:val="24"/>
          <w:szCs w:val="24"/>
        </w:rPr>
      </w:pPr>
      <w:bookmarkStart w:id="134" w:name="_Toc421861337"/>
      <w:bookmarkStart w:id="135" w:name="_Toc421861150"/>
      <w:r>
        <w:rPr>
          <w:rFonts w:hint="eastAsia" w:ascii="仿宋_GB2312" w:hAnsi="宋体" w:eastAsia="仿宋_GB2312" w:cs="宋体"/>
          <w:b/>
          <w:sz w:val="24"/>
          <w:szCs w:val="24"/>
        </w:rPr>
        <w:t>11.投标有效期</w:t>
      </w:r>
      <w:bookmarkEnd w:id="132"/>
      <w:bookmarkEnd w:id="133"/>
      <w:bookmarkEnd w:id="134"/>
      <w:bookmarkEnd w:id="135"/>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11.1投标文件从投标人须知前附表第4项所规定的投标截止期之后开始生效，在投标人须知前附表第3项所规定的期限内保持有效。有效期不足将导致其投标文件被拒绝。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11.2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bookmarkStart w:id="136" w:name="_Toc209947034"/>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12.投标保证金</w:t>
      </w:r>
      <w:bookmarkEnd w:id="136"/>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12.1 投标保证金为投标文件的组成部分之一。</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12.2 投标人应在提交投标文件的截止时间前向招标代理机构缴交投标人须知前附表第5项要求的投标保证金。</w:t>
      </w:r>
    </w:p>
    <w:p>
      <w:pPr>
        <w:spacing w:line="40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 xml:space="preserve"> 12.3 投标保证金用于保护本次招标活动免受投标人的行为而引起的风险。</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12.4 未按规定缴交投标保证金的投标，将被视为无效投标。</w:t>
      </w:r>
    </w:p>
    <w:p>
      <w:pPr>
        <w:pStyle w:val="5"/>
        <w:snapToGrid w:val="0"/>
        <w:spacing w:line="400" w:lineRule="exact"/>
        <w:ind w:firstLine="480" w:firstLineChars="200"/>
        <w:outlineLvl w:val="0"/>
        <w:rPr>
          <w:rFonts w:ascii="仿宋_GB2312" w:hAnsi="宋体" w:eastAsia="仿宋_GB2312" w:cs="宋体"/>
          <w:sz w:val="24"/>
          <w:szCs w:val="24"/>
        </w:rPr>
      </w:pPr>
      <w:bookmarkStart w:id="137" w:name="_Toc377051041"/>
      <w:bookmarkStart w:id="138" w:name="_Toc421861151"/>
      <w:bookmarkStart w:id="139" w:name="_Toc421861338"/>
      <w:r>
        <w:rPr>
          <w:rFonts w:hint="eastAsia" w:ascii="仿宋_GB2312" w:hAnsi="宋体" w:eastAsia="仿宋_GB2312" w:cs="宋体"/>
          <w:sz w:val="24"/>
          <w:szCs w:val="24"/>
        </w:rPr>
        <w:t>12.5 在中标通知书发出后5个工作日内，未中标投标人应向招标人出具退还投标保证金申请单（未中标人使用），办理退还投标保证金手续；</w:t>
      </w:r>
      <w:bookmarkEnd w:id="137"/>
      <w:bookmarkEnd w:id="138"/>
      <w:bookmarkEnd w:id="139"/>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12.6投标保证金的有效期为投标有效期满后的30个日历日。投标保证金予以原额无息退还。</w:t>
      </w:r>
    </w:p>
    <w:p>
      <w:pPr>
        <w:spacing w:line="400" w:lineRule="exact"/>
        <w:ind w:firstLine="360" w:firstLineChars="150"/>
        <w:rPr>
          <w:rFonts w:ascii="仿宋_GB2312" w:hAnsi="宋体" w:eastAsia="仿宋_GB2312" w:cs="宋体"/>
          <w:sz w:val="24"/>
          <w:szCs w:val="24"/>
        </w:rPr>
      </w:pPr>
      <w:r>
        <w:rPr>
          <w:rFonts w:hint="eastAsia" w:ascii="仿宋_GB2312" w:hAnsi="宋体" w:eastAsia="仿宋_GB2312" w:cs="宋体"/>
          <w:sz w:val="24"/>
          <w:szCs w:val="24"/>
        </w:rPr>
        <w:t xml:space="preserve"> 12.7 发生以下情况之一的，投标保证金将不予退还：</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⑴ 投标人在投标截止期后，投标有效期内撤回投标；</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⑵ 中标人未能做到按本招标文件第</w:t>
      </w: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条规定签订合同；</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⑶ 中标人未按投标人须知前附表规定缴纳招标服务费；</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⑷ 以他人名义投标或者以其他方式弄虚作假，骗取中标；</w:t>
      </w:r>
    </w:p>
    <w:p>
      <w:pPr>
        <w:spacing w:line="400" w:lineRule="exact"/>
        <w:ind w:firstLine="840" w:firstLineChars="350"/>
        <w:rPr>
          <w:rFonts w:ascii="仿宋_GB2312" w:hAnsi="宋体" w:eastAsia="仿宋_GB2312" w:cs="宋体"/>
          <w:sz w:val="24"/>
          <w:szCs w:val="24"/>
        </w:rPr>
      </w:pPr>
      <w:r>
        <w:rPr>
          <w:rFonts w:hint="eastAsia" w:ascii="仿宋_GB2312" w:hAnsi="宋体" w:eastAsia="仿宋_GB2312" w:cs="宋体"/>
          <w:sz w:val="24"/>
          <w:szCs w:val="24"/>
        </w:rPr>
        <w:t>⑸ 本招标文件中规定的其他没收投标保证金的情形。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上述不予退还投标保证金的情况给招标人造成损失的，还要承担赔偿责任。</w:t>
      </w:r>
    </w:p>
    <w:p>
      <w:pPr>
        <w:spacing w:line="400" w:lineRule="exact"/>
        <w:rPr>
          <w:rFonts w:ascii="仿宋_GB2312" w:hAnsi="宋体" w:eastAsia="仿宋_GB2312" w:cs="宋体"/>
          <w:b/>
          <w:sz w:val="24"/>
          <w:szCs w:val="24"/>
        </w:rPr>
      </w:pPr>
      <w:bookmarkStart w:id="140" w:name="_Toc209947035"/>
      <w:r>
        <w:rPr>
          <w:rFonts w:hint="eastAsia" w:ascii="仿宋_GB2312" w:hAnsi="宋体" w:eastAsia="仿宋_GB2312" w:cs="宋体"/>
          <w:b/>
          <w:sz w:val="24"/>
          <w:szCs w:val="24"/>
        </w:rPr>
        <w:t>13.投标文件的格式</w:t>
      </w:r>
      <w:bookmarkEnd w:id="14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13.1投标文件应由投标人的法定代表人或者其授权代表签字并加盖公章，如由后者签字，应提供“法定代表人授权委托书”。</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13.2除非有另外的规定或许可，投标使用货币为人民币。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13.3投标人应提交证明其拟供货物符合招标文件要求的技术响应文件，该文件可以是文字资料、图纸和数据，并须提供货物主要技术性能的详细描述。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13.4 投标文件的正本和全部副本均应使用不能擦去的墨料或墨水打印、书写或复印，并按招标文件的要求内容由法定代表人或其授权代表签署，盖投标人公章。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13.5全套投标文件应无涂改和行间插字，除非这些改动是根据招标代理机构的指示进行的，或者是为改正投标人造成的必须修改的错误而进行的。有改动时，修改处应由授权代表签署证明或加盖校正章。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13.6未按招标文件规定的格式填写投标文件、投标文件字迹模糊不清的，评委将对其作出不利的考评，情节严重的其投标将被拒绝。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13.7所有资格证明文件复印件须加盖投标人公章。</w:t>
      </w:r>
    </w:p>
    <w:p>
      <w:pPr>
        <w:pStyle w:val="4"/>
        <w:rPr>
          <w:rFonts w:hAnsi="宋体" w:cs="宋体"/>
          <w:sz w:val="28"/>
          <w:szCs w:val="28"/>
        </w:rPr>
      </w:pPr>
      <w:bookmarkStart w:id="141" w:name="_Toc377051043"/>
      <w:bookmarkStart w:id="142" w:name="_Toc209947036"/>
      <w:bookmarkStart w:id="143" w:name="_Toc421861340"/>
      <w:r>
        <w:rPr>
          <w:rFonts w:hint="eastAsia" w:hAnsi="宋体" w:cs="宋体"/>
          <w:sz w:val="28"/>
          <w:szCs w:val="28"/>
        </w:rPr>
        <w:t>四、 投标文件的递交</w:t>
      </w:r>
      <w:bookmarkEnd w:id="141"/>
      <w:bookmarkEnd w:id="142"/>
      <w:bookmarkEnd w:id="143"/>
    </w:p>
    <w:p>
      <w:pPr>
        <w:spacing w:line="400" w:lineRule="exact"/>
        <w:rPr>
          <w:rFonts w:ascii="仿宋_GB2312" w:hAnsi="宋体" w:eastAsia="仿宋_GB2312" w:cs="宋体"/>
          <w:b/>
          <w:sz w:val="24"/>
          <w:szCs w:val="24"/>
        </w:rPr>
      </w:pPr>
      <w:bookmarkStart w:id="144" w:name="_Toc209947037"/>
      <w:r>
        <w:rPr>
          <w:rFonts w:hint="eastAsia" w:ascii="仿宋_GB2312" w:hAnsi="宋体" w:eastAsia="仿宋_GB2312" w:cs="宋体"/>
          <w:b/>
          <w:sz w:val="24"/>
          <w:szCs w:val="24"/>
        </w:rPr>
        <w:t>14.投标文件的密封、标记和递交</w:t>
      </w:r>
      <w:bookmarkEnd w:id="144"/>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14.1 投标人应将投标文件技术商务部分正本分别用密封袋密封，两部分的全部副本也分别用密封袋密封，并标明招标编号、招标项目、投标人名称、技术商务部分及“正本”或“副本”字样。投标文件未密封将导致投标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14.2 每一密封袋密封处应注明“</w:t>
      </w:r>
      <w:r>
        <w:rPr>
          <w:rFonts w:hint="eastAsia" w:ascii="仿宋_GB2312" w:hAnsi="宋体" w:eastAsia="仿宋_GB2312" w:cs="宋体"/>
          <w:sz w:val="24"/>
          <w:szCs w:val="24"/>
          <w:u w:val="single"/>
        </w:rPr>
        <w:t>于</w:t>
      </w:r>
      <w:r>
        <w:rPr>
          <w:rFonts w:hint="eastAsia" w:ascii="仿宋_GB2312" w:hAnsi="宋体" w:eastAsia="仿宋_GB2312" w:cs="宋体"/>
          <w:sz w:val="24"/>
          <w:szCs w:val="24"/>
          <w:u w:val="single"/>
          <w:lang w:eastAsia="zh-CN"/>
        </w:rPr>
        <w:t>2020</w:t>
      </w:r>
      <w:r>
        <w:rPr>
          <w:rFonts w:hint="eastAsia" w:ascii="仿宋_GB2312" w:hAnsi="宋体" w:eastAsia="仿宋_GB2312" w:cs="宋体"/>
          <w:sz w:val="24"/>
          <w:szCs w:val="24"/>
          <w:u w:val="single"/>
        </w:rPr>
        <w:t>年</w:t>
      </w:r>
      <w:r>
        <w:rPr>
          <w:rFonts w:hint="eastAsia" w:ascii="仿宋_GB2312" w:hAnsi="宋体" w:eastAsia="仿宋_GB2312" w:cs="宋体"/>
          <w:sz w:val="24"/>
          <w:szCs w:val="24"/>
          <w:u w:val="single"/>
          <w:lang w:val="en-US" w:eastAsia="zh-CN"/>
        </w:rPr>
        <w:t>6</w:t>
      </w:r>
      <w:r>
        <w:rPr>
          <w:rFonts w:hint="eastAsia" w:ascii="仿宋_GB2312" w:hAnsi="宋体" w:eastAsia="仿宋_GB2312" w:cs="宋体"/>
          <w:sz w:val="24"/>
          <w:szCs w:val="24"/>
          <w:u w:val="single"/>
        </w:rPr>
        <w:t>月</w:t>
      </w:r>
      <w:r>
        <w:rPr>
          <w:rFonts w:hint="eastAsia" w:ascii="仿宋_GB2312" w:hAnsi="宋体" w:eastAsia="仿宋_GB2312" w:cs="宋体"/>
          <w:sz w:val="24"/>
          <w:szCs w:val="24"/>
          <w:u w:val="single"/>
          <w:lang w:val="en-US" w:eastAsia="zh-CN"/>
        </w:rPr>
        <w:t>17</w:t>
      </w:r>
      <w:r>
        <w:rPr>
          <w:rFonts w:hint="eastAsia" w:ascii="仿宋_GB2312" w:hAnsi="宋体" w:eastAsia="仿宋_GB2312" w:cs="宋体"/>
          <w:sz w:val="24"/>
          <w:szCs w:val="24"/>
          <w:u w:val="single"/>
        </w:rPr>
        <w:t>日上午9:</w:t>
      </w:r>
      <w:r>
        <w:rPr>
          <w:rFonts w:hint="eastAsia" w:ascii="仿宋_GB2312" w:hAnsi="宋体" w:eastAsia="仿宋_GB2312" w:cs="宋体"/>
          <w:sz w:val="24"/>
          <w:szCs w:val="24"/>
          <w:u w:val="single"/>
          <w:lang w:val="en-US" w:eastAsia="zh-CN"/>
        </w:rPr>
        <w:t>3</w:t>
      </w:r>
      <w:r>
        <w:rPr>
          <w:rFonts w:hint="eastAsia" w:ascii="仿宋_GB2312" w:hAnsi="宋体" w:eastAsia="仿宋_GB2312" w:cs="宋体"/>
          <w:sz w:val="24"/>
          <w:szCs w:val="24"/>
          <w:u w:val="single"/>
        </w:rPr>
        <w:t>0</w:t>
      </w:r>
      <w:r>
        <w:rPr>
          <w:rFonts w:hint="eastAsia" w:ascii="仿宋_GB2312" w:hAnsi="宋体" w:eastAsia="仿宋_GB2312" w:cs="宋体"/>
          <w:sz w:val="24"/>
          <w:szCs w:val="24"/>
        </w:rPr>
        <w:t>之前（指投标邀请中规定的开标日期及时间）不准启封”的字样，并加盖投标人公章。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14.3本项目不接受邮寄、电话投标。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14.4如果未按上述规定进行密封和标记，招标代理机构将不承担由此造成的对投标文件的误投或提前拆封的责任。</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14.5投标文件应在投标邀请中规定的截止时间前送达，迟到的投标文件为无效投标文件, 将被拒收。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14.6投标人在投标截止时间前，可以对所提交的投标文件进行修改或者撤回，并书面通知招标代理机构。修改的内容和撤回通知应当按招标文件要求签署、盖章、密封，并作为投标文件的组成部分。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14.7投标人在投标截止期后不得修改、撤回投标文件。投标人在投标截止期后修改投标文件的，其投标被拒绝。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14.8投标截止时间结束后参加投标的供应商不足三家的，本次招标程序终止，除招标任务取消情形外，招标人将依法重新组织招标或者采取其他方式招标。</w:t>
      </w:r>
    </w:p>
    <w:p>
      <w:pPr>
        <w:pStyle w:val="4"/>
        <w:rPr>
          <w:rFonts w:hAnsi="宋体" w:cs="宋体"/>
          <w:sz w:val="28"/>
          <w:szCs w:val="28"/>
        </w:rPr>
      </w:pPr>
      <w:bookmarkStart w:id="145" w:name="_Toc377051044"/>
      <w:bookmarkStart w:id="146" w:name="_Toc209947038"/>
      <w:bookmarkStart w:id="147" w:name="_Toc421861341"/>
      <w:r>
        <w:rPr>
          <w:rFonts w:hint="eastAsia" w:hAnsi="宋体" w:cs="宋体"/>
          <w:sz w:val="28"/>
          <w:szCs w:val="28"/>
        </w:rPr>
        <w:t>五、投标文件的评估和比较</w:t>
      </w:r>
      <w:bookmarkEnd w:id="145"/>
      <w:bookmarkEnd w:id="146"/>
      <w:bookmarkEnd w:id="147"/>
    </w:p>
    <w:p>
      <w:pPr>
        <w:spacing w:line="400" w:lineRule="exact"/>
        <w:rPr>
          <w:rFonts w:ascii="仿宋_GB2312" w:hAnsi="宋体" w:eastAsia="仿宋_GB2312" w:cs="宋体"/>
          <w:b/>
          <w:sz w:val="24"/>
          <w:szCs w:val="24"/>
        </w:rPr>
      </w:pPr>
      <w:bookmarkStart w:id="148" w:name="_Toc209947039"/>
      <w:r>
        <w:rPr>
          <w:rFonts w:hint="eastAsia" w:ascii="仿宋_GB2312" w:hAnsi="宋体" w:eastAsia="仿宋_GB2312" w:cs="宋体"/>
          <w:b/>
          <w:sz w:val="24"/>
          <w:szCs w:val="24"/>
        </w:rPr>
        <w:t>15.开标、评标时间</w:t>
      </w:r>
      <w:bookmarkEnd w:id="148"/>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15.1 在投标人须知前附表中所规定的时间、地点开标。</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15.2开标由招标代理机构主持，招标人、投标人和有关方面代表参加。所有投标人应派授权代表参加开标会，并签到。</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15.3 开标时，由投标人监督代表和授权代表检查投标文件的密封情况，对符合密封要求的投标文件按照提交投标文件时间的先后顺序（或者逆顺序）当场逐一拆封。招标代理机构对唱标内容作开标现场记录。</w:t>
      </w:r>
    </w:p>
    <w:p>
      <w:pPr>
        <w:spacing w:line="400" w:lineRule="exact"/>
        <w:rPr>
          <w:rFonts w:ascii="仿宋_GB2312" w:hAnsi="宋体" w:eastAsia="仿宋_GB2312" w:cs="宋体"/>
          <w:b/>
          <w:sz w:val="24"/>
          <w:szCs w:val="24"/>
        </w:rPr>
      </w:pPr>
      <w:bookmarkStart w:id="149" w:name="_Toc209947040"/>
      <w:r>
        <w:rPr>
          <w:rFonts w:hint="eastAsia" w:ascii="仿宋_GB2312" w:hAnsi="宋体" w:eastAsia="仿宋_GB2312" w:cs="宋体"/>
          <w:b/>
          <w:sz w:val="24"/>
          <w:szCs w:val="24"/>
        </w:rPr>
        <w:t>16.评标委员会</w:t>
      </w:r>
      <w:bookmarkEnd w:id="149"/>
    </w:p>
    <w:p>
      <w:pPr>
        <w:spacing w:line="400" w:lineRule="exact"/>
        <w:ind w:firstLine="480" w:firstLineChars="200"/>
        <w:rPr>
          <w:rFonts w:ascii="仿宋_GB2312" w:hAnsi="宋体" w:eastAsia="仿宋_GB2312" w:cs="宋体"/>
          <w:color w:val="auto"/>
          <w:sz w:val="24"/>
          <w:szCs w:val="24"/>
        </w:rPr>
      </w:pPr>
      <w:bookmarkStart w:id="150" w:name="_Toc209947041"/>
      <w:r>
        <w:rPr>
          <w:rFonts w:hint="eastAsia" w:ascii="仿宋_GB2312" w:hAnsi="宋体" w:eastAsia="仿宋_GB2312" w:cs="宋体"/>
          <w:color w:val="auto"/>
          <w:sz w:val="24"/>
          <w:szCs w:val="24"/>
        </w:rPr>
        <w:t>招标代理机构根据招标货物和服务的特点依法组建评标委员会。评标委员会由技术、经济、法律方面的专家和招标人代表组成。评委</w:t>
      </w:r>
      <w:r>
        <w:rPr>
          <w:rFonts w:hint="eastAsia" w:ascii="仿宋_GB2312" w:hAnsi="宋体" w:eastAsia="仿宋_GB2312" w:cs="宋体"/>
          <w:color w:val="auto"/>
          <w:sz w:val="24"/>
          <w:szCs w:val="24"/>
          <w:lang w:val="en-US" w:eastAsia="zh-CN"/>
        </w:rPr>
        <w:t>5</w:t>
      </w:r>
      <w:r>
        <w:rPr>
          <w:rFonts w:hint="eastAsia" w:ascii="仿宋_GB2312" w:hAnsi="宋体" w:eastAsia="仿宋_GB2312" w:cs="宋体"/>
          <w:color w:val="auto"/>
          <w:sz w:val="24"/>
          <w:szCs w:val="24"/>
        </w:rPr>
        <w:t>人由市</w:t>
      </w:r>
      <w:r>
        <w:rPr>
          <w:rFonts w:hint="eastAsia" w:ascii="仿宋_GB2312" w:hAnsi="宋体" w:eastAsia="仿宋_GB2312" w:cs="宋体"/>
          <w:color w:val="auto"/>
          <w:sz w:val="24"/>
          <w:szCs w:val="24"/>
          <w:lang w:eastAsia="zh-CN"/>
        </w:rPr>
        <w:t>应急</w:t>
      </w:r>
      <w:r>
        <w:rPr>
          <w:rFonts w:hint="eastAsia" w:ascii="仿宋_GB2312" w:hAnsi="宋体" w:eastAsia="仿宋_GB2312" w:cs="宋体"/>
          <w:color w:val="auto"/>
          <w:sz w:val="24"/>
          <w:szCs w:val="24"/>
        </w:rPr>
        <w:t>局</w:t>
      </w:r>
      <w:r>
        <w:rPr>
          <w:rFonts w:hint="eastAsia" w:ascii="仿宋_GB2312" w:hAnsi="宋体" w:eastAsia="仿宋_GB2312" w:cs="宋体"/>
          <w:color w:val="auto"/>
          <w:sz w:val="24"/>
          <w:szCs w:val="24"/>
          <w:lang w:val="en-US" w:eastAsia="zh-CN"/>
        </w:rPr>
        <w:t>3</w:t>
      </w:r>
      <w:r>
        <w:rPr>
          <w:rFonts w:hint="eastAsia" w:ascii="仿宋_GB2312" w:hAnsi="宋体" w:eastAsia="仿宋_GB2312" w:cs="宋体"/>
          <w:color w:val="auto"/>
          <w:sz w:val="24"/>
          <w:szCs w:val="24"/>
        </w:rPr>
        <w:t>人和外部专家</w:t>
      </w:r>
      <w:r>
        <w:rPr>
          <w:rFonts w:hint="eastAsia" w:ascii="仿宋_GB2312" w:hAnsi="宋体" w:eastAsia="仿宋_GB2312" w:cs="宋体"/>
          <w:color w:val="auto"/>
          <w:sz w:val="24"/>
          <w:szCs w:val="24"/>
          <w:lang w:val="en-US" w:eastAsia="zh-CN"/>
        </w:rPr>
        <w:t>2</w:t>
      </w:r>
      <w:r>
        <w:rPr>
          <w:rFonts w:hint="eastAsia" w:ascii="仿宋_GB2312" w:hAnsi="宋体" w:eastAsia="仿宋_GB2312" w:cs="宋体"/>
          <w:color w:val="auto"/>
          <w:sz w:val="24"/>
          <w:szCs w:val="24"/>
        </w:rPr>
        <w:t>人共同组成，市</w:t>
      </w:r>
      <w:r>
        <w:rPr>
          <w:rFonts w:hint="eastAsia" w:ascii="仿宋_GB2312" w:hAnsi="宋体" w:eastAsia="仿宋_GB2312" w:cs="宋体"/>
          <w:color w:val="auto"/>
          <w:sz w:val="24"/>
          <w:szCs w:val="24"/>
          <w:lang w:eastAsia="zh-CN"/>
        </w:rPr>
        <w:t>应急局采购领导小组、办公室</w:t>
      </w:r>
      <w:r>
        <w:rPr>
          <w:rFonts w:hint="eastAsia" w:ascii="仿宋_GB2312" w:hAnsi="宋体" w:eastAsia="仿宋_GB2312" w:cs="宋体"/>
          <w:color w:val="auto"/>
          <w:sz w:val="24"/>
          <w:szCs w:val="24"/>
        </w:rPr>
        <w:t>、</w:t>
      </w:r>
      <w:r>
        <w:rPr>
          <w:rFonts w:hint="eastAsia" w:ascii="仿宋_GB2312" w:hAnsi="宋体" w:eastAsia="仿宋_GB2312" w:cs="宋体"/>
          <w:color w:val="auto"/>
          <w:sz w:val="24"/>
          <w:szCs w:val="24"/>
          <w:lang w:eastAsia="zh-CN"/>
        </w:rPr>
        <w:t>监测</w:t>
      </w:r>
      <w:r>
        <w:rPr>
          <w:rFonts w:hint="eastAsia" w:ascii="仿宋_GB2312" w:hAnsi="宋体" w:eastAsia="仿宋_GB2312" w:cs="宋体"/>
          <w:color w:val="auto"/>
          <w:sz w:val="24"/>
          <w:szCs w:val="24"/>
        </w:rPr>
        <w:t>科各派</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名负责人；</w:t>
      </w:r>
      <w:r>
        <w:rPr>
          <w:rFonts w:hint="eastAsia" w:ascii="仿宋_GB2312" w:hAnsi="宋体" w:eastAsia="仿宋_GB2312" w:cs="宋体"/>
          <w:color w:val="auto"/>
          <w:sz w:val="24"/>
          <w:szCs w:val="24"/>
          <w:highlight w:val="none"/>
        </w:rPr>
        <w:t>人民银行泉州市中心支行、市金融监管局各派1名专业人员</w:t>
      </w:r>
      <w:r>
        <w:rPr>
          <w:rFonts w:hint="eastAsia" w:ascii="仿宋_GB2312" w:hAnsi="宋体" w:eastAsia="仿宋_GB2312" w:cs="宋体"/>
          <w:color w:val="auto"/>
          <w:sz w:val="24"/>
          <w:szCs w:val="24"/>
          <w:highlight w:val="none"/>
          <w:lang w:eastAsia="zh-CN"/>
        </w:rPr>
        <w:t>作为外部专家</w:t>
      </w:r>
      <w:r>
        <w:rPr>
          <w:rFonts w:hint="eastAsia" w:ascii="仿宋_GB2312" w:hAnsi="宋体" w:eastAsia="仿宋_GB2312" w:cs="宋体"/>
          <w:color w:val="auto"/>
          <w:sz w:val="24"/>
          <w:szCs w:val="24"/>
          <w:highlight w:val="none"/>
        </w:rPr>
        <w:t>。招标现场监督人</w:t>
      </w:r>
      <w:r>
        <w:rPr>
          <w:rFonts w:hint="eastAsia" w:ascii="仿宋_GB2312" w:hAnsi="宋体" w:eastAsia="仿宋_GB2312" w:cs="宋体"/>
          <w:color w:val="auto"/>
          <w:sz w:val="24"/>
          <w:szCs w:val="24"/>
        </w:rPr>
        <w:t>员由</w:t>
      </w:r>
      <w:r>
        <w:rPr>
          <w:rFonts w:hint="eastAsia" w:ascii="仿宋_GB2312" w:hAnsi="宋体" w:eastAsia="仿宋_GB2312" w:cs="宋体"/>
          <w:color w:val="auto"/>
          <w:sz w:val="24"/>
          <w:szCs w:val="24"/>
          <w:lang w:eastAsia="zh-CN"/>
        </w:rPr>
        <w:t>市纪委驻市政法委纪检组</w:t>
      </w:r>
      <w:r>
        <w:rPr>
          <w:rFonts w:hint="eastAsia" w:ascii="仿宋_GB2312" w:hAnsi="宋体" w:eastAsia="仿宋_GB2312" w:cs="宋体"/>
          <w:color w:val="auto"/>
          <w:sz w:val="24"/>
          <w:szCs w:val="24"/>
        </w:rPr>
        <w:t>派人担任。在开标后的适当时间里由评标委员会对投标文件进行审查、质疑、评估和比较，并做出授予合同的建议。</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17.投标文件的初审</w:t>
      </w:r>
      <w:bookmarkEnd w:id="150"/>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对所有投标人的评估，都采用相同的程序和标准。评议过程将严格按照招标文件的要求和条件进行。</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有关投标文件的审查、澄清、评估和比较以及推荐中标候选人的一切情况都不得透露给任一投标人或与上述评标工作无关的人员。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投标人任何试图影响评委会对投标文件的评估、比较或者推荐候选人的行为，都将导致其投标被拒绝，并被没收投标保证金。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17.1评委会将对投标文件进行检查，以确定投标文件是否完整、有无计算上的错误、是否提交了投标保证金、文件是否已正确签署。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17.2 算术错误将按以下方法更正：</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如果投标人不接受按上述方法对投标文件中的算术错误进行更正，其投标将被拒绝并没收其投标保证金。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17.3资格性检查和符合性检查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17.3.1资格性检查。依据法律法规和招标文件的规定，在对投标文件详细评估之前，评标委员会将依据投标人提交的投标文件按投标人须知前附表第2项所述的资格标准对投标人进行资格审查, 以确定其是否具备投标资格。如果投标人不具备投标资格，不满足招标文件所规定的资格标准或提供资格证明文件不全的, 其投标将被拒绝。</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17.3.2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招标人的权利和中标人合同项目的义务；（3）不公正地影响了其它作出实质性响应的投标人的竞争地位。（4）根据招标文件设基本技术参数要求的，达不到基本技术参数，视为无效投标。对没有实质性响应的投标文件将不进行评估，其投标将被拒绝。</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凡有下列情况之一者，投标文件也将被视为未实质性响应招标文件要求将被拒绝或作无效标处理：</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(1)投标文件未进行密封、标记的；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(2)未按规定由投标人的法定代表人或其授权代表签字，或未加盖投标人公章的；或签字人未经法定代表人有效授权委托的；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(3)未按规定提交投标保证金的；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(4)投标有效期不满足招标文件要求的；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(5)投标内容与招标内容及要求有重大偏离或保留的；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(6)一个投标人不止投一个标；</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(7)投标文件组成不符合招标文件要求的；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(8)未按招标文件第10.</w:t>
      </w:r>
      <w:r>
        <w:rPr>
          <w:rFonts w:hint="eastAsia" w:ascii="仿宋_GB2312" w:hAnsi="宋体" w:eastAsia="仿宋_GB2312" w:cs="宋体"/>
          <w:sz w:val="24"/>
          <w:szCs w:val="24"/>
          <w:lang w:val="en-US" w:eastAsia="zh-CN"/>
        </w:rPr>
        <w:t>1</w:t>
      </w:r>
      <w:r>
        <w:rPr>
          <w:rFonts w:hint="eastAsia" w:ascii="仿宋_GB2312" w:hAnsi="宋体" w:eastAsia="仿宋_GB2312" w:cs="宋体"/>
          <w:sz w:val="24"/>
          <w:szCs w:val="24"/>
        </w:rPr>
        <w:t>(5)条要求提供投标人的资格证明文件的；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(9)投标文件中提供虚假或失实资料的；</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(10)不符合招标文件中规定的其它实质性条款。</w:t>
      </w:r>
    </w:p>
    <w:p>
      <w:pPr>
        <w:spacing w:line="400" w:lineRule="exact"/>
        <w:ind w:firstLine="600" w:firstLineChars="250"/>
        <w:rPr>
          <w:rFonts w:ascii="仿宋_GB2312" w:hAnsi="宋体" w:eastAsia="仿宋_GB2312" w:cs="宋体"/>
          <w:sz w:val="24"/>
          <w:szCs w:val="24"/>
        </w:rPr>
      </w:pPr>
      <w:r>
        <w:rPr>
          <w:rFonts w:hint="eastAsia" w:ascii="仿宋_GB2312" w:hAnsi="宋体" w:eastAsia="仿宋_GB2312" w:cs="宋体"/>
          <w:sz w:val="24"/>
          <w:szCs w:val="24"/>
        </w:rPr>
        <w:t xml:space="preserve">(11)投标文件未按照招标文件第10条的规定组成、制作的。 </w:t>
      </w:r>
    </w:p>
    <w:p>
      <w:pPr>
        <w:spacing w:line="400" w:lineRule="exact"/>
        <w:ind w:firstLine="482" w:firstLineChars="200"/>
        <w:rPr>
          <w:rFonts w:ascii="仿宋_GB2312" w:hAnsi="宋体" w:eastAsia="仿宋_GB2312" w:cs="宋体"/>
          <w:b/>
          <w:sz w:val="24"/>
          <w:szCs w:val="24"/>
          <w:u w:val="single"/>
        </w:rPr>
      </w:pPr>
      <w:r>
        <w:rPr>
          <w:rFonts w:hint="eastAsia" w:ascii="仿宋_GB2312" w:hAnsi="宋体" w:eastAsia="仿宋_GB2312" w:cs="宋体"/>
          <w:b/>
          <w:sz w:val="24"/>
          <w:szCs w:val="24"/>
          <w:u w:val="single"/>
        </w:rPr>
        <w:t>评标委员会决定投标的响应性只根据投标文件本身的内容，而不寻求其他的外部证据。</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废标界定：</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出现下列情况之一者，作为废标处理：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（1）对招标文件作实质性响应的投标人不足三家的；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（2）出现影响招标公正的违法、违规行为的；</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（3）因重大变故，招标任务取消的。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17.4关于评审工作</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17.4.1严格界定投标偏差。评标委员会应当根据招标文件，审查并逐项界定投标文件的全部投标偏差。投标偏差分为重大偏差和细微偏差。</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17.4.2重大偏差。下列情况属于重大偏差：</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（1）投标文件未按招标文件要求加盖公章并由法定代表人或其书面授权的代理人签字的。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（2）投标如需提供联合体未提交联合体协议的。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（3）投标文件载明的招标项目完成期限超过招标文件规定的。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（4）明显不符合技术规格、技术标准的要求。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（5）投标文件载明的货物包装方式、检验标准和方法等不符合招标文件的要求。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（6）投标文件附有招标人不能接受的条件。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（7）不符合招标文件中规定的其他实质性要求。</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投标文件有上述情形之一的，应认定为未对招标文件作出实质性响应，作无效投标处理。招标文件可对重大偏差进行细化约定。</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17.4.3细微偏差。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评标委员会应当书面要求存在细微偏差的投标人在评标结束前予以补正。补正的程序和方法按照法律法规对澄清的规定执行。无法补正的，可在评审时对细微偏差作不利于该投标人的认定。不利的认定标准应当在招标文件中量化。采用综合评分法的，可对细微偏差采取扣分做法，扣分标准应在招标文件中列明。采用最低评标价法的，可对细微偏差采取计量做法，约定一定数量以上的累积细微偏差视为技术商务不合格（或实质性不响应），为无效投标。</w:t>
      </w:r>
    </w:p>
    <w:p>
      <w:pPr>
        <w:spacing w:line="400" w:lineRule="exact"/>
        <w:rPr>
          <w:rFonts w:ascii="仿宋_GB2312" w:hAnsi="宋体" w:eastAsia="仿宋_GB2312" w:cs="宋体"/>
          <w:b/>
          <w:sz w:val="24"/>
          <w:szCs w:val="24"/>
        </w:rPr>
      </w:pPr>
      <w:bookmarkStart w:id="151" w:name="_Toc209947042"/>
      <w:r>
        <w:rPr>
          <w:rFonts w:hint="eastAsia" w:ascii="仿宋_GB2312" w:hAnsi="宋体" w:eastAsia="仿宋_GB2312" w:cs="宋体"/>
          <w:b/>
          <w:sz w:val="24"/>
          <w:szCs w:val="24"/>
        </w:rPr>
        <w:t>18.投标文件的澄清</w:t>
      </w:r>
      <w:bookmarkEnd w:id="151"/>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18.1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授权代表签字，并不得超出投标文件的范围或者改变投标文件的实质性内容。</w:t>
      </w:r>
    </w:p>
    <w:p>
      <w:pPr>
        <w:spacing w:line="400" w:lineRule="exact"/>
        <w:rPr>
          <w:rFonts w:ascii="仿宋_GB2312" w:hAnsi="宋体" w:eastAsia="仿宋_GB2312" w:cs="宋体"/>
          <w:b/>
          <w:sz w:val="24"/>
          <w:szCs w:val="24"/>
        </w:rPr>
      </w:pPr>
      <w:bookmarkStart w:id="152" w:name="_Toc209947043"/>
      <w:r>
        <w:rPr>
          <w:rFonts w:hint="eastAsia" w:ascii="仿宋_GB2312" w:hAnsi="宋体" w:eastAsia="仿宋_GB2312" w:cs="宋体"/>
          <w:b/>
          <w:sz w:val="24"/>
          <w:szCs w:val="24"/>
        </w:rPr>
        <w:t>19.比较与评价</w:t>
      </w:r>
      <w:bookmarkEnd w:id="152"/>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19.1 评标委员会将按投标人须知前附表第6项所述评标方法，对资格性检查和符合性检查合格的投标文件进行商务和技术评估，综合比较与评价。</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 评标委员会在评标过程中发现投标人存在下列情形之一的，可认定其有串通投标行为，并做出其投标无效的决定：</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19.2.1 不同投标人的投标文件错、漏之处一致或雷同，且不能合理解释的；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19.2.2 不同的投标人的法定代表人、委托代理人等由同一个单位缴纳社会保险的；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19.2.3 由同一人或分别由几个有利害关系人携带两个以上（含两个）投标人的企业资料参与资格审查、领取招标资料，或代表两个以上（含两个）投标人参加招标答疑会、交纳或退还投标保证金、开标的；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19.2.4 有关法律、法规或规章规定的其他串通投标行为。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19.3评标委员会将按比较与评价最优在先原则, 排列评价顺序, 根据在投标人须知前附表中确定的中标候选人数量推荐出中标候选人。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19.4 在评标期间，若出现符合招标文件规定的所有投标条件的投标人不足三家情形的，本次招标程序终止，除招标任务取消情形外，招标人将依法重新组织招标或者采取其他方式招标。 </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19.5 评标方法：</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19.5.1本项目合同号的评标方法采用综合评分法确定中标候选供应商。</w:t>
      </w:r>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19.5.1.1评标委员会将对具有实际性响应的投标人按</w:t>
      </w:r>
      <w:r>
        <w:rPr>
          <w:rFonts w:hint="eastAsia" w:ascii="仿宋_GB2312" w:hAnsi="仿宋" w:eastAsia="仿宋_GB2312"/>
          <w:color w:val="auto"/>
          <w:sz w:val="24"/>
          <w:szCs w:val="24"/>
        </w:rPr>
        <w:t>综合评分法的的评分指标和评分标准的具体设置，遵循客观、公正、科学的原则，</w:t>
      </w:r>
      <w:r>
        <w:rPr>
          <w:rFonts w:hint="eastAsia" w:ascii="仿宋_GB2312" w:hAnsi="仿宋" w:eastAsia="仿宋_GB2312"/>
          <w:color w:val="auto"/>
          <w:sz w:val="24"/>
          <w:szCs w:val="24"/>
          <w:highlight w:val="none"/>
        </w:rPr>
        <w:t>按</w:t>
      </w:r>
      <w:r>
        <w:rPr>
          <w:rFonts w:hint="eastAsia" w:ascii="仿宋_GB2312" w:eastAsia="仿宋_GB2312"/>
          <w:color w:val="auto"/>
          <w:sz w:val="24"/>
          <w:szCs w:val="24"/>
          <w:highlight w:val="none"/>
        </w:rPr>
        <w:t>泉财库</w:t>
      </w:r>
      <w:r>
        <w:rPr>
          <w:rFonts w:hint="eastAsia" w:ascii="仿宋_GB2312" w:hAnsi="仿宋_GB2312" w:eastAsia="仿宋_GB2312" w:cs="仿宋_GB2312"/>
          <w:color w:val="auto"/>
          <w:sz w:val="24"/>
          <w:szCs w:val="24"/>
          <w:highlight w:val="none"/>
        </w:rPr>
        <w:t>〔</w:t>
      </w:r>
      <w:r>
        <w:rPr>
          <w:rFonts w:hint="eastAsia" w:ascii="仿宋_GB2312" w:eastAsia="仿宋_GB2312"/>
          <w:color w:val="auto"/>
          <w:sz w:val="24"/>
          <w:szCs w:val="24"/>
          <w:highlight w:val="none"/>
        </w:rPr>
        <w:t>201</w:t>
      </w:r>
      <w:r>
        <w:rPr>
          <w:rFonts w:hint="eastAsia" w:ascii="仿宋_GB2312" w:eastAsia="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w:t>
      </w:r>
      <w:r>
        <w:rPr>
          <w:rFonts w:hint="eastAsia" w:ascii="仿宋_GB2312" w:eastAsia="仿宋_GB2312"/>
          <w:color w:val="auto"/>
          <w:sz w:val="24"/>
          <w:szCs w:val="24"/>
          <w:highlight w:val="none"/>
          <w:lang w:val="en-US" w:eastAsia="zh-CN"/>
        </w:rPr>
        <w:t>700</w:t>
      </w:r>
      <w:r>
        <w:rPr>
          <w:rFonts w:hint="eastAsia" w:ascii="仿宋_GB2312" w:eastAsia="仿宋_GB2312"/>
          <w:color w:val="auto"/>
          <w:sz w:val="24"/>
          <w:szCs w:val="24"/>
          <w:highlight w:val="none"/>
        </w:rPr>
        <w:t>号文件规定</w:t>
      </w:r>
      <w:r>
        <w:rPr>
          <w:rFonts w:hint="eastAsia" w:ascii="仿宋_GB2312" w:eastAsia="仿宋_GB2312"/>
          <w:color w:val="auto"/>
          <w:sz w:val="24"/>
          <w:szCs w:val="24"/>
        </w:rPr>
        <w:t>设置。评分指标包括</w:t>
      </w:r>
      <w:r>
        <w:rPr>
          <w:rFonts w:hint="eastAsia" w:ascii="仿宋_GB2312" w:hAnsi="仿宋" w:eastAsia="仿宋_GB2312"/>
          <w:color w:val="auto"/>
          <w:sz w:val="24"/>
          <w:szCs w:val="24"/>
        </w:rPr>
        <w:t>安全性、贡献度、收益性、服务</w:t>
      </w:r>
      <w:r>
        <w:rPr>
          <w:rFonts w:hint="eastAsia" w:ascii="仿宋_GB2312" w:hAnsi="仿宋" w:eastAsia="仿宋_GB2312"/>
          <w:color w:val="auto"/>
          <w:sz w:val="24"/>
          <w:szCs w:val="24"/>
          <w:lang w:eastAsia="zh-CN"/>
        </w:rPr>
        <w:t>指标</w:t>
      </w:r>
      <w:r>
        <w:rPr>
          <w:rFonts w:hint="eastAsia" w:ascii="仿宋_GB2312" w:hAnsi="仿宋" w:eastAsia="仿宋_GB2312"/>
          <w:color w:val="auto"/>
          <w:sz w:val="24"/>
          <w:szCs w:val="24"/>
        </w:rPr>
        <w:t>等四个一级指标，指标总分为100分，其中，安全性30分，贡献度30分，收益性</w:t>
      </w:r>
      <w:r>
        <w:rPr>
          <w:rFonts w:hint="eastAsia" w:ascii="仿宋_GB2312" w:hAnsi="仿宋" w:eastAsia="仿宋_GB2312"/>
          <w:color w:val="auto"/>
          <w:sz w:val="24"/>
          <w:szCs w:val="24"/>
          <w:lang w:val="en-US" w:eastAsia="zh-CN"/>
        </w:rPr>
        <w:t>20</w:t>
      </w:r>
      <w:r>
        <w:rPr>
          <w:rFonts w:hint="eastAsia" w:ascii="仿宋_GB2312" w:hAnsi="仿宋" w:eastAsia="仿宋_GB2312"/>
          <w:color w:val="auto"/>
          <w:sz w:val="24"/>
          <w:szCs w:val="24"/>
        </w:rPr>
        <w:t>分，服务</w:t>
      </w:r>
      <w:r>
        <w:rPr>
          <w:rFonts w:hint="eastAsia" w:ascii="仿宋_GB2312" w:hAnsi="仿宋" w:eastAsia="仿宋_GB2312"/>
          <w:color w:val="auto"/>
          <w:sz w:val="24"/>
          <w:szCs w:val="24"/>
          <w:lang w:eastAsia="zh-CN"/>
        </w:rPr>
        <w:t>指标</w:t>
      </w:r>
      <w:r>
        <w:rPr>
          <w:rFonts w:hint="eastAsia" w:ascii="仿宋_GB2312" w:hAnsi="仿宋" w:eastAsia="仿宋_GB2312"/>
          <w:color w:val="auto"/>
          <w:sz w:val="24"/>
          <w:szCs w:val="24"/>
          <w:lang w:val="en-US" w:eastAsia="zh-CN"/>
        </w:rPr>
        <w:t>20</w:t>
      </w:r>
      <w:r>
        <w:rPr>
          <w:rFonts w:hint="eastAsia" w:ascii="仿宋_GB2312" w:hAnsi="仿宋" w:eastAsia="仿宋_GB2312"/>
          <w:color w:val="auto"/>
          <w:sz w:val="24"/>
          <w:szCs w:val="24"/>
        </w:rPr>
        <w:t>分。在一级指标下，设定</w:t>
      </w:r>
      <w:r>
        <w:rPr>
          <w:rFonts w:hint="eastAsia" w:ascii="仿宋_GB2312" w:hAnsi="仿宋" w:eastAsia="仿宋_GB2312"/>
          <w:color w:val="auto"/>
          <w:sz w:val="24"/>
          <w:szCs w:val="24"/>
          <w:lang w:val="en-US" w:eastAsia="zh-CN"/>
        </w:rPr>
        <w:t>9</w:t>
      </w:r>
      <w:r>
        <w:rPr>
          <w:rFonts w:hint="eastAsia" w:ascii="仿宋_GB2312" w:hAnsi="仿宋" w:eastAsia="仿宋_GB2312"/>
          <w:color w:val="auto"/>
          <w:sz w:val="24"/>
          <w:szCs w:val="24"/>
        </w:rPr>
        <w:t>个二级指标进行细化，二级指标下设</w:t>
      </w:r>
      <w:r>
        <w:rPr>
          <w:rFonts w:hint="eastAsia" w:ascii="仿宋_GB2312" w:hAnsi="仿宋" w:eastAsia="仿宋_GB2312"/>
          <w:color w:val="auto"/>
          <w:sz w:val="24"/>
          <w:szCs w:val="24"/>
          <w:lang w:val="en-US" w:eastAsia="zh-CN"/>
        </w:rPr>
        <w:t>14</w:t>
      </w:r>
      <w:r>
        <w:rPr>
          <w:rFonts w:hint="eastAsia" w:ascii="仿宋_GB2312" w:hAnsi="仿宋" w:eastAsia="仿宋_GB2312"/>
          <w:color w:val="auto"/>
          <w:sz w:val="24"/>
          <w:szCs w:val="24"/>
        </w:rPr>
        <w:t>个三级量化指标，三级指标评分采取扣分值，分值扣完为止，不实行负分制。根据综合得分从高分到低分顺序排列，选择得分</w:t>
      </w:r>
      <w:r>
        <w:rPr>
          <w:rFonts w:hint="eastAsia" w:ascii="仿宋_GB2312" w:hAnsi="仿宋" w:eastAsia="仿宋_GB2312"/>
          <w:color w:val="auto"/>
          <w:sz w:val="24"/>
          <w:szCs w:val="24"/>
          <w:lang w:eastAsia="zh-CN"/>
        </w:rPr>
        <w:t>最高</w:t>
      </w:r>
      <w:r>
        <w:rPr>
          <w:rFonts w:hint="eastAsia" w:ascii="仿宋_GB2312" w:hAnsi="仿宋" w:eastAsia="仿宋_GB2312"/>
          <w:color w:val="auto"/>
          <w:sz w:val="24"/>
          <w:szCs w:val="24"/>
        </w:rPr>
        <w:t>的银行为中标银行</w:t>
      </w:r>
      <w:r>
        <w:rPr>
          <w:rFonts w:hint="eastAsia" w:ascii="仿宋_GB2312" w:hAnsi="仿宋" w:eastAsia="仿宋_GB2312"/>
          <w:color w:val="auto"/>
          <w:sz w:val="24"/>
          <w:szCs w:val="24"/>
          <w:lang w:eastAsia="zh-CN"/>
        </w:rPr>
        <w:t>，</w:t>
      </w:r>
      <w:r>
        <w:rPr>
          <w:rFonts w:hint="eastAsia" w:ascii="仿宋_GB2312" w:hAnsi="宋体" w:eastAsia="仿宋_GB2312" w:cs="宋体"/>
          <w:color w:val="auto"/>
          <w:sz w:val="24"/>
          <w:szCs w:val="24"/>
        </w:rPr>
        <w:t>如得分相同有两家及以上的银行，则以安全性指标项目的得分高低排序，直至选出</w:t>
      </w:r>
      <w:r>
        <w:rPr>
          <w:rFonts w:hint="eastAsia" w:ascii="仿宋_GB2312" w:hAnsi="宋体" w:eastAsia="仿宋_GB2312" w:cs="宋体"/>
          <w:color w:val="auto"/>
          <w:sz w:val="24"/>
          <w:szCs w:val="24"/>
          <w:lang w:val="en-US" w:eastAsia="zh-CN"/>
        </w:rPr>
        <w:t>1</w:t>
      </w:r>
      <w:r>
        <w:rPr>
          <w:rFonts w:hint="eastAsia" w:ascii="仿宋_GB2312" w:hAnsi="宋体" w:eastAsia="仿宋_GB2312" w:cs="宋体"/>
          <w:color w:val="auto"/>
          <w:sz w:val="24"/>
          <w:szCs w:val="24"/>
        </w:rPr>
        <w:t>家银行为止。如</w:t>
      </w:r>
      <w:r>
        <w:rPr>
          <w:rFonts w:hint="eastAsia" w:ascii="仿宋_GB2312" w:hAnsi="宋体" w:eastAsia="仿宋_GB2312" w:cs="宋体"/>
          <w:color w:val="auto"/>
          <w:sz w:val="24"/>
          <w:szCs w:val="24"/>
          <w:highlight w:val="none"/>
          <w:lang w:eastAsia="zh-CN"/>
        </w:rPr>
        <w:t>第一</w:t>
      </w:r>
      <w:r>
        <w:rPr>
          <w:rFonts w:hint="eastAsia" w:ascii="仿宋_GB2312" w:hAnsi="宋体" w:eastAsia="仿宋_GB2312" w:cs="宋体"/>
          <w:color w:val="auto"/>
          <w:sz w:val="24"/>
          <w:szCs w:val="24"/>
          <w:highlight w:val="none"/>
        </w:rPr>
        <w:t>中标</w:t>
      </w:r>
      <w:r>
        <w:rPr>
          <w:rFonts w:hint="eastAsia" w:ascii="仿宋_GB2312" w:hAnsi="宋体" w:eastAsia="仿宋_GB2312" w:cs="宋体"/>
          <w:color w:val="auto"/>
          <w:sz w:val="24"/>
          <w:szCs w:val="24"/>
          <w:highlight w:val="none"/>
          <w:lang w:eastAsia="zh-CN"/>
        </w:rPr>
        <w:t>候选</w:t>
      </w:r>
      <w:r>
        <w:rPr>
          <w:rFonts w:hint="eastAsia" w:ascii="仿宋_GB2312" w:hAnsi="宋体" w:eastAsia="仿宋_GB2312" w:cs="宋体"/>
          <w:color w:val="auto"/>
          <w:sz w:val="24"/>
          <w:szCs w:val="24"/>
          <w:highlight w:val="none"/>
        </w:rPr>
        <w:t>银行弃权或未在规定的时间内签订合作协议的，下一个得分排名</w:t>
      </w:r>
      <w:r>
        <w:rPr>
          <w:rFonts w:hint="eastAsia" w:ascii="仿宋_GB2312" w:hAnsi="宋体" w:eastAsia="仿宋_GB2312" w:cs="宋体"/>
          <w:color w:val="auto"/>
          <w:sz w:val="24"/>
          <w:szCs w:val="24"/>
          <w:highlight w:val="none"/>
          <w:lang w:eastAsia="zh-CN"/>
        </w:rPr>
        <w:t>最靠前</w:t>
      </w:r>
      <w:r>
        <w:rPr>
          <w:rFonts w:hint="eastAsia" w:ascii="仿宋_GB2312" w:hAnsi="宋体" w:eastAsia="仿宋_GB2312" w:cs="宋体"/>
          <w:color w:val="auto"/>
          <w:sz w:val="24"/>
          <w:szCs w:val="24"/>
          <w:highlight w:val="none"/>
        </w:rPr>
        <w:t>的银行为中标</w:t>
      </w:r>
      <w:r>
        <w:rPr>
          <w:rFonts w:hint="eastAsia" w:ascii="仿宋_GB2312" w:hAnsi="宋体" w:eastAsia="仿宋_GB2312" w:cs="宋体"/>
          <w:color w:val="auto"/>
          <w:sz w:val="24"/>
          <w:szCs w:val="24"/>
        </w:rPr>
        <w:t>银行。</w:t>
      </w:r>
    </w:p>
    <w:p>
      <w:pPr>
        <w:spacing w:line="40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19.5.1.2各部分评分分值及标准如下：</w:t>
      </w:r>
    </w:p>
    <w:p>
      <w:pPr>
        <w:tabs>
          <w:tab w:val="left" w:pos="8280"/>
        </w:tabs>
        <w:spacing w:line="500" w:lineRule="exact"/>
        <w:jc w:val="center"/>
        <w:rPr>
          <w:rFonts w:hint="eastAsia" w:ascii="仿宋_GB2312" w:hAnsi="仿宋_GB2312" w:eastAsia="仿宋_GB2312" w:cs="仿宋_GB2312"/>
          <w:color w:val="FF0000"/>
          <w:sz w:val="32"/>
          <w:szCs w:val="32"/>
        </w:rPr>
      </w:pPr>
    </w:p>
    <w:p>
      <w:pPr>
        <w:tabs>
          <w:tab w:val="left" w:pos="8280"/>
        </w:tabs>
        <w:spacing w:line="500" w:lineRule="exact"/>
        <w:jc w:val="center"/>
        <w:rPr>
          <w:rFonts w:hint="eastAsia" w:ascii="仿宋_GB2312" w:hAnsi="仿宋_GB2312" w:eastAsia="仿宋_GB2312" w:cs="仿宋_GB2312"/>
          <w:color w:val="FF0000"/>
          <w:sz w:val="32"/>
          <w:szCs w:val="32"/>
        </w:rPr>
      </w:pPr>
    </w:p>
    <w:p>
      <w:pPr>
        <w:tabs>
          <w:tab w:val="left" w:pos="8280"/>
        </w:tabs>
        <w:spacing w:line="500" w:lineRule="exact"/>
        <w:jc w:val="center"/>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lang w:eastAsia="zh-CN"/>
        </w:rPr>
        <w:br w:type="page"/>
      </w:r>
    </w:p>
    <w:p>
      <w:pPr>
        <w:tabs>
          <w:tab w:val="left" w:pos="8280"/>
        </w:tabs>
        <w:spacing w:line="500" w:lineRule="exact"/>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泉州市应急管理局</w:t>
      </w:r>
      <w:r>
        <w:rPr>
          <w:rFonts w:hint="eastAsia" w:ascii="仿宋_GB2312" w:hAnsi="仿宋_GB2312" w:eastAsia="仿宋_GB2312" w:cs="仿宋_GB2312"/>
          <w:b/>
          <w:bCs/>
          <w:color w:val="auto"/>
          <w:sz w:val="32"/>
          <w:szCs w:val="32"/>
          <w:highlight w:val="none"/>
        </w:rPr>
        <w:t>市级</w:t>
      </w:r>
      <w:r>
        <w:rPr>
          <w:rFonts w:hint="eastAsia" w:ascii="仿宋_GB2312" w:hAnsi="仿宋_GB2312" w:eastAsia="仿宋_GB2312" w:cs="仿宋_GB2312"/>
          <w:b/>
          <w:bCs/>
          <w:color w:val="auto"/>
          <w:sz w:val="32"/>
          <w:szCs w:val="32"/>
          <w:highlight w:val="none"/>
          <w:lang w:eastAsia="zh-CN"/>
        </w:rPr>
        <w:t>救灾预备金</w:t>
      </w:r>
      <w:r>
        <w:rPr>
          <w:rFonts w:hint="eastAsia" w:ascii="仿宋_GB2312" w:hAnsi="仿宋_GB2312" w:eastAsia="仿宋_GB2312" w:cs="仿宋_GB2312"/>
          <w:b/>
          <w:bCs/>
          <w:color w:val="auto"/>
          <w:sz w:val="32"/>
          <w:szCs w:val="32"/>
          <w:highlight w:val="none"/>
        </w:rPr>
        <w:t>存放银行招标项目</w:t>
      </w:r>
    </w:p>
    <w:p>
      <w:pPr>
        <w:tabs>
          <w:tab w:val="left" w:pos="8280"/>
        </w:tabs>
        <w:spacing w:line="5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综合评价指标及评分规则</w:t>
      </w:r>
    </w:p>
    <w:p>
      <w:pPr>
        <w:tabs>
          <w:tab w:val="left" w:pos="8280"/>
        </w:tabs>
        <w:spacing w:line="500" w:lineRule="exact"/>
        <w:jc w:val="center"/>
        <w:rPr>
          <w:rFonts w:hint="eastAsia" w:ascii="方正小标宋_GBK" w:eastAsia="方正小标宋_GBK"/>
          <w:color w:val="FF0000"/>
          <w:sz w:val="32"/>
          <w:szCs w:val="32"/>
        </w:rPr>
      </w:pP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lang w:eastAsia="zh-CN"/>
        </w:rPr>
        <w:t>市级救灾预备金</w:t>
      </w:r>
      <w:r>
        <w:rPr>
          <w:rFonts w:hint="eastAsia" w:ascii="仿宋_GB2312" w:hAnsi="宋体" w:eastAsia="仿宋_GB2312" w:cs="宋体"/>
          <w:sz w:val="24"/>
          <w:szCs w:val="24"/>
        </w:rPr>
        <w:t>存放银行综合评价指标体系，包括安全性、贡献度、收益性、服务指标4大类指标，权重分别为30%、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0%、</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%。满分为100分。</w:t>
      </w:r>
    </w:p>
    <w:tbl>
      <w:tblPr>
        <w:tblStyle w:val="27"/>
        <w:tblpPr w:leftFromText="180" w:rightFromText="180" w:vertAnchor="text" w:horzAnchor="page" w:tblpX="1283" w:tblpY="267"/>
        <w:tblOverlap w:val="never"/>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2175"/>
        <w:gridCol w:w="3320"/>
        <w:gridCol w:w="68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6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一级指标</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二级指标</w:t>
            </w: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三级指标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分值</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安全性</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（30分）</w:t>
            </w:r>
          </w:p>
        </w:tc>
        <w:tc>
          <w:tcPr>
            <w:tcW w:w="21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1.资本充足率</w:t>
            </w:r>
          </w:p>
        </w:tc>
        <w:tc>
          <w:tcPr>
            <w:tcW w:w="3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1.资本充足率（总行）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2.不良贷款率</w:t>
            </w:r>
          </w:p>
        </w:tc>
        <w:tc>
          <w:tcPr>
            <w:tcW w:w="3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2.不良贷款率（总行）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3.拨备覆盖率</w:t>
            </w:r>
          </w:p>
        </w:tc>
        <w:tc>
          <w:tcPr>
            <w:tcW w:w="3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3.拨备覆盖率（总行）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4.流动性覆盖率</w:t>
            </w:r>
          </w:p>
        </w:tc>
        <w:tc>
          <w:tcPr>
            <w:tcW w:w="3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4.流动性覆盖率（总行）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5.流动性比例</w:t>
            </w:r>
          </w:p>
        </w:tc>
        <w:tc>
          <w:tcPr>
            <w:tcW w:w="33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5.流动性比例（总行）</w:t>
            </w:r>
          </w:p>
        </w:tc>
        <w:tc>
          <w:tcPr>
            <w:tcW w:w="68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贡献度</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4</w:t>
            </w:r>
            <w:r>
              <w:rPr>
                <w:rFonts w:hint="eastAsia" w:ascii="仿宋_GB2312" w:hAnsi="仿宋_GB2312" w:eastAsia="仿宋_GB2312" w:cs="仿宋_GB2312"/>
                <w:b/>
                <w:color w:val="auto"/>
                <w:sz w:val="24"/>
                <w:szCs w:val="24"/>
              </w:rPr>
              <w:t>0分）</w:t>
            </w:r>
          </w:p>
          <w:p>
            <w:pPr>
              <w:pStyle w:val="26"/>
              <w:spacing w:line="400" w:lineRule="exact"/>
              <w:ind w:firstLine="240"/>
              <w:rPr>
                <w:rFonts w:hint="eastAsia" w:ascii="仿宋_GB2312" w:hAnsi="仿宋_GB2312" w:eastAsia="仿宋_GB2312" w:cs="仿宋_GB2312"/>
                <w:color w:val="auto"/>
                <w:sz w:val="24"/>
                <w:szCs w:val="24"/>
              </w:rPr>
            </w:pPr>
          </w:p>
        </w:tc>
        <w:tc>
          <w:tcPr>
            <w:tcW w:w="21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6.支持泉州地区重点工作情况</w:t>
            </w: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年在泉州贷款余额</w:t>
            </w:r>
            <w:r>
              <w:rPr>
                <w:rFonts w:hint="eastAsia" w:ascii="仿宋_GB2312" w:hAnsi="仿宋_GB2312" w:eastAsia="仿宋_GB2312" w:cs="仿宋_GB2312"/>
                <w:color w:val="auto"/>
                <w:sz w:val="24"/>
                <w:szCs w:val="24"/>
                <w:lang w:eastAsia="zh-CN"/>
              </w:rPr>
              <w:t>同比</w:t>
            </w:r>
            <w:r>
              <w:rPr>
                <w:rFonts w:hint="eastAsia" w:ascii="仿宋_GB2312" w:hAnsi="仿宋_GB2312" w:eastAsia="仿宋_GB2312" w:cs="仿宋_GB2312"/>
                <w:color w:val="auto"/>
                <w:sz w:val="24"/>
                <w:szCs w:val="24"/>
              </w:rPr>
              <w:t>增</w:t>
            </w:r>
            <w:r>
              <w:rPr>
                <w:rFonts w:hint="eastAsia" w:ascii="仿宋_GB2312" w:hAnsi="仿宋_GB2312" w:eastAsia="仿宋_GB2312" w:cs="仿宋_GB2312"/>
                <w:color w:val="auto"/>
                <w:sz w:val="24"/>
                <w:szCs w:val="24"/>
                <w:lang w:eastAsia="zh-CN"/>
              </w:rPr>
              <w:t>速</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年在泉州缴纳税收规模</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年在泉州贷款</w:t>
            </w:r>
            <w:r>
              <w:rPr>
                <w:rFonts w:hint="eastAsia" w:ascii="仿宋_GB2312" w:hAnsi="仿宋_GB2312" w:eastAsia="仿宋_GB2312" w:cs="仿宋_GB2312"/>
                <w:color w:val="auto"/>
                <w:sz w:val="24"/>
                <w:szCs w:val="24"/>
                <w:lang w:eastAsia="zh-CN"/>
              </w:rPr>
              <w:t>余额</w:t>
            </w:r>
            <w:r>
              <w:rPr>
                <w:rFonts w:hint="eastAsia" w:ascii="仿宋_GB2312" w:hAnsi="仿宋_GB2312" w:eastAsia="仿宋_GB2312" w:cs="仿宋_GB2312"/>
                <w:color w:val="auto"/>
                <w:sz w:val="24"/>
                <w:szCs w:val="24"/>
              </w:rPr>
              <w:t>比率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年在泉州不良贷款防控情况</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r>
              <w:rPr>
                <w:rFonts w:hint="eastAsia" w:ascii="仿宋_GB2312" w:hAnsi="仿宋_GB2312" w:eastAsia="仿宋_GB2312" w:cs="仿宋_GB2312"/>
                <w:color w:val="auto"/>
                <w:sz w:val="24"/>
                <w:szCs w:val="24"/>
                <w:lang w:val="en-US" w:eastAsia="zh-CN"/>
              </w:rPr>
              <w:t>2019年末</w:t>
            </w:r>
            <w:r>
              <w:rPr>
                <w:rFonts w:hint="eastAsia" w:ascii="仿宋_GB2312" w:hAnsi="仿宋_GB2312" w:eastAsia="仿宋_GB2312" w:cs="仿宋_GB2312"/>
                <w:color w:val="auto"/>
                <w:sz w:val="24"/>
                <w:szCs w:val="24"/>
                <w:lang w:eastAsia="zh-CN"/>
              </w:rPr>
              <w:t>制造业</w:t>
            </w:r>
            <w:r>
              <w:rPr>
                <w:rFonts w:hint="eastAsia" w:ascii="仿宋_GB2312" w:hAnsi="仿宋_GB2312" w:eastAsia="仿宋_GB2312" w:cs="仿宋_GB2312"/>
                <w:color w:val="auto"/>
                <w:sz w:val="24"/>
                <w:szCs w:val="24"/>
              </w:rPr>
              <w:t>贷款</w:t>
            </w:r>
            <w:r>
              <w:rPr>
                <w:rFonts w:hint="eastAsia" w:ascii="仿宋_GB2312" w:hAnsi="仿宋_GB2312" w:eastAsia="仿宋_GB2312" w:cs="仿宋_GB2312"/>
                <w:color w:val="auto"/>
                <w:sz w:val="24"/>
                <w:szCs w:val="24"/>
                <w:lang w:eastAsia="zh-CN"/>
              </w:rPr>
              <w:t>余额同比增速</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收益性</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20</w:t>
            </w:r>
            <w:r>
              <w:rPr>
                <w:rFonts w:hint="eastAsia" w:ascii="仿宋_GB2312" w:hAnsi="仿宋_GB2312" w:eastAsia="仿宋_GB2312" w:cs="仿宋_GB2312"/>
                <w:b/>
                <w:color w:val="auto"/>
                <w:sz w:val="24"/>
                <w:szCs w:val="24"/>
              </w:rPr>
              <w:t>分）</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7.存款利率</w:t>
            </w: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.存款利率</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服务指标</w:t>
            </w:r>
          </w:p>
          <w:p>
            <w:pPr>
              <w:adjustRightInd w:val="0"/>
              <w:snapToGrid w:val="0"/>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w:t>
            </w:r>
            <w:r>
              <w:rPr>
                <w:rFonts w:hint="eastAsia" w:ascii="仿宋_GB2312" w:hAnsi="仿宋_GB2312" w:eastAsia="仿宋_GB2312" w:cs="仿宋_GB2312"/>
                <w:b/>
                <w:color w:val="auto"/>
                <w:sz w:val="24"/>
                <w:szCs w:val="24"/>
                <w:lang w:val="en-US" w:eastAsia="zh-CN"/>
              </w:rPr>
              <w:t>10</w:t>
            </w:r>
            <w:r>
              <w:rPr>
                <w:rFonts w:hint="eastAsia" w:ascii="仿宋_GB2312" w:hAnsi="仿宋_GB2312" w:eastAsia="仿宋_GB2312" w:cs="仿宋_GB2312"/>
                <w:b/>
                <w:color w:val="auto"/>
                <w:sz w:val="24"/>
                <w:szCs w:val="24"/>
              </w:rPr>
              <w:t>分）</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8.人行综合评价</w:t>
            </w: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年度人行综合评价</w:t>
            </w: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8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   计</w:t>
            </w:r>
          </w:p>
        </w:tc>
        <w:tc>
          <w:tcPr>
            <w:tcW w:w="3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1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bl>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具体评分规则如下：</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一、安全性指标（满分30分）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（一）资本充足率（6分）。根据参与银行总行201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年末资本充足率数据为评分依据。资本充足率达到监管标准，即可获得基础分3分；其余3分，按照资本充足率进行递减排名，第一名得3分，从第二名开始依次递减0.3分，如数值相同，按同档计分。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（二）不良贷款率（6分）。根据参与银行总行201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年末不良贷款率数据为评分依据。不良贷款率达到监管标准，即可获得基础分3分；其余3分，按照不良贷款率进行递增排名，第一名得3分，从第二名开始依次递减0.3分，如数值相同，按同档计分。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（三）拨备覆盖率（6分）。根据参与银行总行201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年末拨备覆盖率数据为评分依据。拨备覆盖率达到监管标准，即可获得基础分3分；其余3分，按照拨备覆盖率进行递减排名，第一名得3分，从第二名开始依次递减0.3分，如数值相同，按同档计分。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（四）流动性覆盖率（6分）。根据参与银行总行201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年末流动性覆盖率数据为评分依据。流动性覆盖率达到监管标准，即可获得基础分3分；其余3分，按照流动性覆盖率进行递减排名，第一名得3分，从第二名开始依次递减0.3分，如数值相同，按同档计分。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（五）流动性比例（6分）。根据参与银行总行201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年末流动性比例数据为评分依据。流动性比例达到监管标准，即可获得基础分3分；其余3分，按照流动性比例进行递减排名，第一名得3分，从第二名开始依次递减0.3分，如数值相同，按同档计分。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二、贡献度指标（满分</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0分）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（六）201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年在泉州贷款余额</w:t>
      </w:r>
      <w:r>
        <w:rPr>
          <w:rFonts w:hint="eastAsia" w:ascii="仿宋_GB2312" w:hAnsi="宋体" w:eastAsia="仿宋_GB2312" w:cs="宋体"/>
          <w:sz w:val="24"/>
          <w:szCs w:val="24"/>
          <w:lang w:eastAsia="zh-CN"/>
        </w:rPr>
        <w:t>同比</w:t>
      </w:r>
      <w:r>
        <w:rPr>
          <w:rFonts w:hint="eastAsia" w:ascii="仿宋_GB2312" w:hAnsi="宋体" w:eastAsia="仿宋_GB2312" w:cs="宋体"/>
          <w:sz w:val="24"/>
          <w:szCs w:val="24"/>
        </w:rPr>
        <w:t>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年末在泉州地区贷款余额</w:t>
      </w:r>
      <w:r>
        <w:rPr>
          <w:rFonts w:hint="eastAsia" w:ascii="仿宋_GB2312" w:hAnsi="宋体" w:eastAsia="仿宋_GB2312" w:cs="宋体"/>
          <w:sz w:val="24"/>
          <w:szCs w:val="24"/>
          <w:lang w:eastAsia="zh-CN"/>
        </w:rPr>
        <w:t>比</w:t>
      </w:r>
      <w:r>
        <w:rPr>
          <w:rFonts w:hint="eastAsia" w:ascii="仿宋_GB2312" w:hAnsi="宋体" w:eastAsia="仿宋_GB2312" w:cs="宋体"/>
          <w:sz w:val="24"/>
          <w:szCs w:val="24"/>
          <w:lang w:val="en-US" w:eastAsia="zh-CN"/>
        </w:rPr>
        <w:t>2018年末余额的增速</w:t>
      </w:r>
      <w:r>
        <w:rPr>
          <w:rFonts w:hint="eastAsia" w:ascii="仿宋_GB2312" w:hAnsi="宋体" w:eastAsia="仿宋_GB2312" w:cs="宋体"/>
          <w:sz w:val="24"/>
          <w:szCs w:val="24"/>
        </w:rPr>
        <w:t>为评分依据。按照贷款余额增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进行递减排名，第一名得满分，即</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分，从第二名开始依次递减0.4分，如数值相同，按同档计分。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（七）201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年在泉州缴纳税收规模（8分）。是指计入泉州市一般公共预算总收入的税收收入（含代扣代缴个人所得税）。根据参与银行201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年度在泉州地区缴纳税收规模为评分依据递减排名，第一名得满分，即8分，从第二名开始依次递减0.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（八）201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年在泉州贷款</w:t>
      </w:r>
      <w:r>
        <w:rPr>
          <w:rFonts w:hint="eastAsia" w:ascii="仿宋_GB2312" w:hAnsi="宋体" w:eastAsia="仿宋_GB2312" w:cs="宋体"/>
          <w:sz w:val="24"/>
          <w:szCs w:val="24"/>
          <w:lang w:eastAsia="zh-CN"/>
        </w:rPr>
        <w:t>余额</w:t>
      </w:r>
      <w:r>
        <w:rPr>
          <w:rFonts w:hint="eastAsia" w:ascii="仿宋_GB2312" w:hAnsi="宋体" w:eastAsia="仿宋_GB2312" w:cs="宋体"/>
          <w:sz w:val="24"/>
          <w:szCs w:val="24"/>
        </w:rPr>
        <w:t>比率（</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年末在泉州地区贷款</w:t>
      </w:r>
      <w:r>
        <w:rPr>
          <w:rFonts w:hint="eastAsia" w:ascii="仿宋_GB2312" w:hAnsi="宋体" w:eastAsia="仿宋_GB2312" w:cs="宋体"/>
          <w:sz w:val="24"/>
          <w:szCs w:val="24"/>
          <w:lang w:eastAsia="zh-CN"/>
        </w:rPr>
        <w:t>余额</w:t>
      </w:r>
      <w:r>
        <w:rPr>
          <w:rFonts w:hint="eastAsia" w:ascii="仿宋_GB2312" w:hAnsi="宋体" w:eastAsia="仿宋_GB2312" w:cs="宋体"/>
          <w:sz w:val="24"/>
          <w:szCs w:val="24"/>
        </w:rPr>
        <w:t>比率为评分依据递减排名，第一名得满分，即</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分，从第二名开始依次递减0.4分，如数值相同，按同档计分。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（九）201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年在泉州不良贷款防控情况（</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年完成市政府下达的不良贷款率年末防控目标的，得</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分，否则不得分。</w:t>
      </w:r>
    </w:p>
    <w:p>
      <w:pPr>
        <w:spacing w:line="400" w:lineRule="exact"/>
        <w:ind w:firstLine="480" w:firstLineChars="200"/>
        <w:rPr>
          <w:rFonts w:hint="default" w:ascii="仿宋_GB2312" w:hAnsi="宋体" w:eastAsia="仿宋_GB2312" w:cs="宋体"/>
          <w:sz w:val="24"/>
          <w:szCs w:val="24"/>
          <w:lang w:val="en-US" w:eastAsia="zh-CN"/>
        </w:rPr>
      </w:pPr>
      <w:r>
        <w:rPr>
          <w:rFonts w:hint="eastAsia" w:ascii="仿宋_GB2312" w:hAnsi="宋体" w:eastAsia="仿宋_GB2312" w:cs="宋体"/>
          <w:sz w:val="24"/>
          <w:szCs w:val="24"/>
        </w:rPr>
        <w:t>（十）</w:t>
      </w:r>
      <w:r>
        <w:rPr>
          <w:rFonts w:hint="eastAsia" w:ascii="仿宋_GB2312" w:hAnsi="宋体" w:eastAsia="仿宋_GB2312" w:cs="宋体"/>
          <w:sz w:val="24"/>
          <w:szCs w:val="24"/>
          <w:lang w:val="en-US" w:eastAsia="zh-CN"/>
        </w:rPr>
        <w:t>2019年末</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w:t>
      </w:r>
      <w:r>
        <w:rPr>
          <w:rFonts w:hint="eastAsia" w:ascii="仿宋_GB2312" w:hAnsi="宋体" w:eastAsia="仿宋_GB2312" w:cs="宋体"/>
          <w:sz w:val="24"/>
          <w:szCs w:val="24"/>
          <w:lang w:eastAsia="zh-CN"/>
        </w:rPr>
        <w:t>余额同比增速</w:t>
      </w:r>
      <w:r>
        <w:rPr>
          <w:rFonts w:hint="eastAsia" w:ascii="仿宋_GB2312" w:hAnsi="宋体" w:eastAsia="仿宋_GB2312" w:cs="宋体"/>
          <w:sz w:val="24"/>
          <w:szCs w:val="24"/>
        </w:rPr>
        <w:t>（</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分）。根据参与银行201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年末在泉州地区</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比</w:t>
      </w:r>
      <w:r>
        <w:rPr>
          <w:rFonts w:hint="eastAsia" w:ascii="仿宋_GB2312" w:hAnsi="宋体" w:eastAsia="仿宋_GB2312" w:cs="宋体"/>
          <w:sz w:val="24"/>
          <w:szCs w:val="24"/>
          <w:lang w:val="en-US" w:eastAsia="zh-CN"/>
        </w:rPr>
        <w:t>2018年末余额的增速</w:t>
      </w:r>
      <w:r>
        <w:rPr>
          <w:rFonts w:hint="eastAsia" w:ascii="仿宋_GB2312" w:hAnsi="宋体" w:eastAsia="仿宋_GB2312" w:cs="宋体"/>
          <w:sz w:val="24"/>
          <w:szCs w:val="24"/>
        </w:rPr>
        <w:t>为评分依据。按照</w:t>
      </w:r>
      <w:r>
        <w:rPr>
          <w:rFonts w:hint="eastAsia" w:ascii="仿宋_GB2312" w:hAnsi="宋体" w:eastAsia="仿宋_GB2312" w:cs="宋体"/>
          <w:sz w:val="24"/>
          <w:szCs w:val="24"/>
          <w:lang w:eastAsia="zh-CN"/>
        </w:rPr>
        <w:t>制造业</w:t>
      </w:r>
      <w:r>
        <w:rPr>
          <w:rFonts w:hint="eastAsia" w:ascii="仿宋_GB2312" w:hAnsi="宋体" w:eastAsia="仿宋_GB2312" w:cs="宋体"/>
          <w:sz w:val="24"/>
          <w:szCs w:val="24"/>
        </w:rPr>
        <w:t>贷款余额</w:t>
      </w:r>
      <w:r>
        <w:rPr>
          <w:rFonts w:hint="eastAsia" w:ascii="仿宋_GB2312" w:hAnsi="宋体" w:eastAsia="仿宋_GB2312" w:cs="宋体"/>
          <w:sz w:val="24"/>
          <w:szCs w:val="24"/>
          <w:lang w:eastAsia="zh-CN"/>
        </w:rPr>
        <w:t>同比</w:t>
      </w:r>
      <w:r>
        <w:rPr>
          <w:rFonts w:hint="eastAsia" w:ascii="仿宋_GB2312" w:hAnsi="宋体" w:eastAsia="仿宋_GB2312" w:cs="宋体"/>
          <w:sz w:val="24"/>
          <w:szCs w:val="24"/>
        </w:rPr>
        <w:t>增</w:t>
      </w:r>
      <w:r>
        <w:rPr>
          <w:rFonts w:hint="eastAsia" w:ascii="仿宋_GB2312" w:hAnsi="宋体" w:eastAsia="仿宋_GB2312" w:cs="宋体"/>
          <w:sz w:val="24"/>
          <w:szCs w:val="24"/>
          <w:lang w:eastAsia="zh-CN"/>
        </w:rPr>
        <w:t>速</w:t>
      </w:r>
      <w:r>
        <w:rPr>
          <w:rFonts w:hint="eastAsia" w:ascii="仿宋_GB2312" w:hAnsi="宋体" w:eastAsia="仿宋_GB2312" w:cs="宋体"/>
          <w:sz w:val="24"/>
          <w:szCs w:val="24"/>
        </w:rPr>
        <w:t>进行递减排名，第一名得满分，即</w:t>
      </w:r>
      <w:r>
        <w:rPr>
          <w:rFonts w:hint="eastAsia" w:ascii="仿宋_GB2312" w:hAnsi="宋体" w:eastAsia="仿宋_GB2312" w:cs="宋体"/>
          <w:sz w:val="24"/>
          <w:szCs w:val="24"/>
          <w:lang w:val="en-US" w:eastAsia="zh-CN"/>
        </w:rPr>
        <w:t>8</w:t>
      </w:r>
      <w:r>
        <w:rPr>
          <w:rFonts w:hint="eastAsia" w:ascii="仿宋_GB2312" w:hAnsi="宋体" w:eastAsia="仿宋_GB2312" w:cs="宋体"/>
          <w:sz w:val="24"/>
          <w:szCs w:val="24"/>
        </w:rPr>
        <w:t>分，从第二名开始依次递减0.</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分，如数值相同，按同档计分</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2019年末</w:t>
      </w:r>
      <w:r>
        <w:rPr>
          <w:rFonts w:hint="eastAsia" w:ascii="仿宋_GB2312" w:hAnsi="宋体" w:eastAsia="仿宋_GB2312" w:cs="宋体"/>
          <w:sz w:val="24"/>
          <w:szCs w:val="24"/>
          <w:lang w:eastAsia="zh-CN"/>
        </w:rPr>
        <w:t>余额为</w:t>
      </w:r>
      <w:r>
        <w:rPr>
          <w:rFonts w:hint="eastAsia" w:ascii="仿宋_GB2312" w:hAnsi="宋体" w:eastAsia="仿宋_GB2312" w:cs="宋体"/>
          <w:sz w:val="24"/>
          <w:szCs w:val="24"/>
          <w:lang w:val="en-US" w:eastAsia="zh-CN"/>
        </w:rPr>
        <w:t>0的本项不得分。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三、收益性指标（满分</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（十</w:t>
      </w:r>
      <w:r>
        <w:rPr>
          <w:rFonts w:hint="eastAsia" w:ascii="仿宋_GB2312" w:hAnsi="宋体" w:eastAsia="仿宋_GB2312" w:cs="宋体"/>
          <w:sz w:val="24"/>
          <w:szCs w:val="24"/>
          <w:lang w:eastAsia="zh-CN"/>
        </w:rPr>
        <w:t>一</w:t>
      </w:r>
      <w:r>
        <w:rPr>
          <w:rFonts w:hint="eastAsia" w:ascii="仿宋_GB2312" w:hAnsi="宋体" w:eastAsia="仿宋_GB2312" w:cs="宋体"/>
          <w:sz w:val="24"/>
          <w:szCs w:val="24"/>
        </w:rPr>
        <w:t>）存款利率（</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分）。承诺对</w:t>
      </w:r>
      <w:r>
        <w:rPr>
          <w:rFonts w:hint="eastAsia" w:ascii="仿宋_GB2312" w:hAnsi="宋体" w:eastAsia="仿宋_GB2312" w:cs="宋体"/>
          <w:sz w:val="24"/>
          <w:szCs w:val="24"/>
          <w:lang w:eastAsia="zh-CN"/>
        </w:rPr>
        <w:t>救灾预备金</w:t>
      </w:r>
      <w:r>
        <w:rPr>
          <w:rFonts w:hint="eastAsia" w:ascii="仿宋_GB2312" w:hAnsi="宋体" w:eastAsia="仿宋_GB2312" w:cs="宋体"/>
          <w:sz w:val="24"/>
          <w:szCs w:val="24"/>
        </w:rPr>
        <w:t>定期存放按人民银行公布的整存整取的三年期存款的基准利率上浮30%进行计息（即年利率3.575%），提供承诺函得</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分，低于</w:t>
      </w:r>
      <w:r>
        <w:rPr>
          <w:rFonts w:hint="eastAsia" w:ascii="仿宋_GB2312" w:hAnsi="宋体" w:eastAsia="仿宋_GB2312" w:cs="宋体"/>
          <w:sz w:val="24"/>
          <w:szCs w:val="24"/>
          <w:lang w:eastAsia="zh-CN"/>
        </w:rPr>
        <w:t>或高于</w:t>
      </w:r>
      <w:r>
        <w:rPr>
          <w:rFonts w:hint="eastAsia" w:ascii="仿宋_GB2312" w:hAnsi="宋体" w:eastAsia="仿宋_GB2312" w:cs="宋体"/>
          <w:sz w:val="24"/>
          <w:szCs w:val="24"/>
        </w:rPr>
        <w:t>年利率3.575%为无效投标。</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四、服务指标（满分</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（十</w:t>
      </w:r>
      <w:r>
        <w:rPr>
          <w:rFonts w:hint="eastAsia" w:ascii="仿宋_GB2312" w:hAnsi="宋体" w:eastAsia="仿宋_GB2312" w:cs="宋体"/>
          <w:sz w:val="24"/>
          <w:szCs w:val="24"/>
          <w:lang w:eastAsia="zh-CN"/>
        </w:rPr>
        <w:t>二</w:t>
      </w:r>
      <w:r>
        <w:rPr>
          <w:rFonts w:hint="eastAsia" w:ascii="仿宋_GB2312" w:hAnsi="宋体" w:eastAsia="仿宋_GB2312" w:cs="宋体"/>
          <w:sz w:val="24"/>
          <w:szCs w:val="24"/>
        </w:rPr>
        <w:t>）人行综合评价（</w:t>
      </w:r>
      <w:r>
        <w:rPr>
          <w:rFonts w:hint="eastAsia" w:ascii="仿宋_GB2312" w:hAnsi="宋体" w:eastAsia="仿宋_GB2312" w:cs="宋体"/>
          <w:sz w:val="24"/>
          <w:szCs w:val="24"/>
          <w:lang w:val="en-US" w:eastAsia="zh-CN"/>
        </w:rPr>
        <w:t>10</w:t>
      </w:r>
      <w:r>
        <w:rPr>
          <w:rFonts w:hint="eastAsia" w:ascii="仿宋_GB2312" w:hAnsi="宋体" w:eastAsia="仿宋_GB2312" w:cs="宋体"/>
          <w:sz w:val="24"/>
          <w:szCs w:val="24"/>
        </w:rPr>
        <w:t>分）。A档得</w:t>
      </w:r>
      <w:r>
        <w:rPr>
          <w:rFonts w:hint="eastAsia" w:ascii="仿宋_GB2312" w:hAnsi="宋体" w:eastAsia="仿宋_GB2312" w:cs="宋体"/>
          <w:sz w:val="24"/>
          <w:szCs w:val="24"/>
          <w:lang w:eastAsia="zh-CN"/>
        </w:rPr>
        <w:t>满</w:t>
      </w:r>
      <w:r>
        <w:rPr>
          <w:rFonts w:hint="eastAsia" w:ascii="仿宋_GB2312" w:hAnsi="宋体" w:eastAsia="仿宋_GB2312" w:cs="宋体"/>
          <w:sz w:val="24"/>
          <w:szCs w:val="24"/>
        </w:rPr>
        <w:t>分，B档</w:t>
      </w:r>
      <w:r>
        <w:rPr>
          <w:rFonts w:hint="eastAsia" w:ascii="仿宋_GB2312" w:hAnsi="宋体" w:eastAsia="仿宋_GB2312" w:cs="宋体"/>
          <w:sz w:val="24"/>
          <w:szCs w:val="24"/>
          <w:lang w:eastAsia="zh-CN"/>
        </w:rPr>
        <w:t>减半</w:t>
      </w:r>
      <w:r>
        <w:rPr>
          <w:rFonts w:hint="eastAsia" w:ascii="仿宋_GB2312" w:hAnsi="宋体" w:eastAsia="仿宋_GB2312" w:cs="宋体"/>
          <w:sz w:val="24"/>
          <w:szCs w:val="24"/>
        </w:rPr>
        <w:t>，C档得0分，未考评的不得分。</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五、指标及得分说明</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（一）除有具体表明时间外，指标均取上年度数据，若招标时上年度数据尚未公布，则取上上年度数据。</w:t>
      </w:r>
    </w:p>
    <w:p>
      <w:pPr>
        <w:spacing w:line="400" w:lineRule="exact"/>
        <w:ind w:firstLine="480" w:firstLineChars="200"/>
        <w:rPr>
          <w:rFonts w:hint="eastAsia" w:ascii="仿宋_GB2312" w:hAnsi="宋体" w:eastAsia="仿宋_GB2312" w:cs="宋体"/>
          <w:sz w:val="24"/>
          <w:szCs w:val="24"/>
        </w:rPr>
      </w:pPr>
      <w:r>
        <w:rPr>
          <w:rFonts w:hint="eastAsia" w:ascii="仿宋_GB2312" w:hAnsi="宋体" w:eastAsia="仿宋_GB2312" w:cs="宋体"/>
          <w:sz w:val="24"/>
          <w:szCs w:val="24"/>
        </w:rPr>
        <w:t>（二）有基础分的各项指标，最低得分为基础分；无基础分的,各项指标最低得分为0分。</w:t>
      </w: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华文仿宋" w:eastAsia="仿宋_GB2312" w:cs="宋体"/>
          <w:kern w:val="0"/>
          <w:sz w:val="32"/>
          <w:szCs w:val="32"/>
        </w:rPr>
      </w:pP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20.保密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20.1 评委不得将有关投标文件的审查、澄清、评估和比较以及授予合同的意向的一切情况透露给任一投标或与上述评标工作无关的人员。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20.2 投标人不得干扰招标人的评标活动，否则将废除其投标。</w:t>
      </w:r>
    </w:p>
    <w:p>
      <w:pPr>
        <w:spacing w:line="400" w:lineRule="exact"/>
        <w:ind w:firstLine="480" w:firstLineChars="200"/>
        <w:rPr>
          <w:rFonts w:ascii="仿宋_GB2312" w:hAnsi="宋体" w:eastAsia="仿宋_GB2312" w:cs="宋体"/>
          <w:sz w:val="24"/>
          <w:szCs w:val="24"/>
        </w:rPr>
      </w:pPr>
    </w:p>
    <w:p>
      <w:pPr>
        <w:adjustRightInd w:val="0"/>
        <w:snapToGrid w:val="0"/>
        <w:spacing w:line="400" w:lineRule="exact"/>
        <w:jc w:val="center"/>
        <w:outlineLvl w:val="1"/>
        <w:rPr>
          <w:rFonts w:ascii="仿宋_GB2312" w:hAnsi="宋体" w:eastAsia="仿宋_GB2312" w:cs="宋体"/>
          <w:b/>
          <w:sz w:val="28"/>
          <w:szCs w:val="28"/>
        </w:rPr>
      </w:pPr>
      <w:bookmarkStart w:id="153" w:name="_Toc421861342"/>
      <w:bookmarkStart w:id="154" w:name="_Toc142736101"/>
      <w:bookmarkStart w:id="155" w:name="_Toc377051045"/>
      <w:bookmarkStart w:id="156" w:name="_Toc142736620"/>
      <w:r>
        <w:rPr>
          <w:rFonts w:hint="eastAsia" w:ascii="仿宋_GB2312" w:hAnsi="宋体" w:eastAsia="仿宋_GB2312" w:cs="宋体"/>
          <w:b/>
          <w:sz w:val="28"/>
          <w:szCs w:val="28"/>
        </w:rPr>
        <w:t>六、 定标与签订合同</w:t>
      </w:r>
      <w:bookmarkEnd w:id="153"/>
      <w:bookmarkEnd w:id="154"/>
      <w:bookmarkEnd w:id="155"/>
      <w:bookmarkEnd w:id="156"/>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21.定标准则</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21.1 最低投标不作为中标的保证；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21.2 投标人的投标文件符合招标文件要求，按招标文件确定的评标标准、方法，经评委评审并推荐中标候选人。</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2</w:t>
      </w:r>
      <w:r>
        <w:rPr>
          <w:rFonts w:hint="eastAsia" w:ascii="仿宋_GB2312" w:hAnsi="宋体" w:eastAsia="仿宋_GB2312" w:cs="宋体"/>
          <w:b/>
          <w:sz w:val="24"/>
          <w:szCs w:val="24"/>
        </w:rPr>
        <w:t>.中标通知</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1评标结束后，评标结果经招标人确认后（招标人在评标结束后5个工作日内没有正当理由推翻评标结果，但又没有确认的，视为确认，认可评标结果。），招标代理公司在刊登本招标项目招标公告的媒介上对中标结果进行公示7个工作日，公示期满后，向中标人发出《中标通知书》。《中标通知书》对招标人和中标人具有同等法律效力。《中标通知书》发出后，招标人改变中标结果，或者中标人放弃中标，应按相关法律、规章、规范性文件的要求承担相应的法律责任。</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投标人对中标公告有异议的，应当在中标结果发布之日起7个工作日内，以书面形式</w:t>
      </w:r>
      <w:r>
        <w:rPr>
          <w:rFonts w:hint="eastAsia" w:ascii="仿宋_GB2312" w:hAnsi="宋体" w:eastAsia="仿宋_GB2312" w:cs="宋体"/>
          <w:b/>
          <w:sz w:val="24"/>
          <w:szCs w:val="24"/>
          <w:u w:val="single"/>
        </w:rPr>
        <w:t>（按招标文件规定格式）</w:t>
      </w:r>
      <w:r>
        <w:rPr>
          <w:rFonts w:hint="eastAsia" w:ascii="仿宋_GB2312" w:hAnsi="宋体" w:eastAsia="仿宋_GB2312" w:cs="宋体"/>
          <w:sz w:val="24"/>
          <w:szCs w:val="24"/>
        </w:rPr>
        <w:t>向招标人或招标代理机构提出质疑。招标人、招标代理机构应当在收到投标人书面质疑后7个工作日内，对质疑内容作出答复。</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质疑供应商对招标人、招标代理机构的答复不满意或者招标人、招标代理机构未在规定时间内答复，可以在答复期满后15个工作日内书面向“投标人须知前附表”第10项所述招标项目行政监督部门提出投诉。</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.2 《中标通知书》将作为签订合同的依据。《合同》签订后，《中标通知书》成为《合同》的一部分。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.3质疑和投诉</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.3.1投标人有权就招标事宜提出质疑。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.3.1</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rPr>
        <w:t>1投标人经确认为中标人后，因自身原因被其他供应商质疑、投诉或其他原因而被否决、撤销或取消中标资格的，其交付的投标保证金和代理服务费均不予退还。</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.3.2 质疑人提起质疑应当符合下列条件：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 质疑人是参与被质疑招标项目投标的供货商；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 质疑书的内容和形式符合本办法的规定，有效线索和相关证据齐全；</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 在质疑有效期限内提起质疑；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 有关法律、行政法规、财政部规章规定的其他条件。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.3.3质疑应当以书面形式向招标人提出。</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.3.4质疑书应当以《质疑函》的形式出现，并包括以下主要内容。</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（1）被质疑项目名称、招标编号、合同包号、招标公告发布时间、开标时间；</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（2）具体的质疑事项及法律依据条款；</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（3）质疑相关证明文件或证明材料，如果涉及到产品功能或技术指标的，应出具相关制造商的证明文件；</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（4）法定代表人签名并加盖单位公章；或法定代表人的授权代表（需提供法定代表人授权书）签名并加盖单位公章。</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（5）质疑供货商名称、地址、联系方式（包括手机、传真号码）；</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不符合上述要求的，招标人将不予受理。按照“谁主张、谁举证”的原则，质疑书应当附上相关证明材料，否则质疑将视为无有效证据支持，将被予以驳回，并不得以上述理由要求延长质疑有效期。</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.3.5 质疑书的递交应向招标人递交原件，办理文件签收手续；传真或复印件等招标人有权不予受理。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.3.6 有下列情形之一的，属于无效质疑，招标人可不予受理：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（1）质疑人没有直接参加招标活动的；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（2）质疑人与质疑事项不存在利害关系的；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（3）质疑文件不符合本招标文件规定的，包括但不限于：质疑未以书面形式提出的； 质疑书为传真或复印件的；所提交材料没有以《质疑函》命名的；《质疑函》没有法定代表人本人签名并加盖单位公章；《质疑函》由参加招标项目的授权代表签署本人姓名，没有法定代表人的特别授权的；质疑书加盖合同专用章的；质疑书未提供有效联系人或联系方式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 xml:space="preserve">（4）未在有效期限内提出质疑的； </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（5）质疑事项已经进入投诉或者诉讼程序的；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（6）其它不符合受理条件的情形。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.3.7质疑人有下列情形之一的，招标人应驳回质疑：</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（1）质疑缺乏事实和法律依据的；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（2）质疑人捏造事实、提供虚假材料，或在一定期限内多次质疑而无实据的；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（3）质疑已经处理并答复后，质疑人就同一事项又提起质疑且未提供新的有效证据的；</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（4）其他根据相关法律、法规应当予以驳回的情形。</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.3.8供货商进行虚假和恶意质疑的，招标人可以提请有关部门将其列入不良记录名单，在一至三年内禁止参加投标活动，并将处理决定在相关媒体上公布。</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2</w:t>
      </w:r>
      <w:r>
        <w:rPr>
          <w:rFonts w:hint="eastAsia" w:ascii="仿宋_GB2312" w:hAnsi="宋体" w:eastAsia="仿宋_GB2312" w:cs="宋体"/>
          <w:sz w:val="24"/>
          <w:szCs w:val="24"/>
        </w:rPr>
        <w:t>.3.9质疑供货商对招标人的答复不满意或者招标人未在规定时间内答复，可以在答复期满后15个工作日内书面向“投标人须知前附表”第10项所述招标项目行政监督部门提出投诉。</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3</w:t>
      </w:r>
      <w:r>
        <w:rPr>
          <w:rFonts w:hint="eastAsia" w:ascii="仿宋_GB2312" w:hAnsi="宋体" w:eastAsia="仿宋_GB2312" w:cs="宋体"/>
          <w:b/>
          <w:sz w:val="24"/>
          <w:szCs w:val="24"/>
        </w:rPr>
        <w:t>.签订合同</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 xml:space="preserve">.1 </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中标人在《中标通知书》发出之日起30日内，根据招标文件确定的事项和中标人的投标文件，参照本招标文件第四章的《合同》文本签订合同。双方所签订的合同不得对招标文件和中标人投标文件作实质性修改。逾期未签订合同，招标代理公司将撤消其“中标通知书”和没收其投标保证金，并按照国家有关规定重新选择中标人或另行组织招标。</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逾期不与中标人签订合同的，按招标文件的有关规定处理。</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.2 招标文件、招标文件的修改文件、中标人的投标文件、补充或修改的文件及澄清或承诺文件等，均为双方签订《合同》的组成部分，并与《合同》一并作为本招标文件所列招标项目的互补性法律文件，与《合同》具有同等法律效力。</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23</w:t>
      </w:r>
      <w:r>
        <w:rPr>
          <w:rFonts w:hint="eastAsia" w:ascii="仿宋_GB2312" w:hAnsi="宋体" w:eastAsia="仿宋_GB2312" w:cs="宋体"/>
          <w:sz w:val="24"/>
          <w:szCs w:val="24"/>
        </w:rPr>
        <w:t xml:space="preserve">.3 </w:t>
      </w:r>
      <w:r>
        <w:rPr>
          <w:rFonts w:hint="eastAsia" w:ascii="仿宋_GB2312" w:hAnsi="宋体" w:eastAsia="仿宋_GB2312" w:cs="宋体"/>
          <w:sz w:val="24"/>
          <w:szCs w:val="24"/>
          <w:lang w:eastAsia="zh-CN"/>
        </w:rPr>
        <w:t>采购人</w:t>
      </w:r>
      <w:r>
        <w:rPr>
          <w:rFonts w:hint="eastAsia" w:ascii="仿宋_GB2312" w:hAnsi="宋体" w:eastAsia="仿宋_GB2312" w:cs="宋体"/>
          <w:sz w:val="24"/>
          <w:szCs w:val="24"/>
        </w:rPr>
        <w:t xml:space="preserve">在合同履行中，需追加与合同标的相同的货物或者服务的，在不改变合同其他条款的前提下，可与中标人协商签订补充合同，但所有补充合同的招标金额不得超过原合同招标金额的百分之十。 </w:t>
      </w:r>
    </w:p>
    <w:p>
      <w:pPr>
        <w:spacing w:line="400" w:lineRule="exact"/>
        <w:rPr>
          <w:rFonts w:ascii="仿宋_GB2312" w:hAnsi="宋体" w:eastAsia="仿宋_GB2312" w:cs="宋体"/>
          <w:b/>
          <w:sz w:val="24"/>
          <w:szCs w:val="24"/>
        </w:rPr>
      </w:pPr>
      <w:r>
        <w:rPr>
          <w:rFonts w:hint="eastAsia" w:ascii="仿宋_GB2312" w:hAnsi="宋体" w:eastAsia="仿宋_GB2312" w:cs="宋体"/>
          <w:b/>
          <w:sz w:val="24"/>
          <w:szCs w:val="24"/>
        </w:rPr>
        <w:t>2</w:t>
      </w:r>
      <w:r>
        <w:rPr>
          <w:rFonts w:hint="eastAsia" w:ascii="仿宋_GB2312" w:hAnsi="宋体" w:eastAsia="仿宋_GB2312" w:cs="宋体"/>
          <w:b/>
          <w:sz w:val="24"/>
          <w:szCs w:val="24"/>
          <w:lang w:val="en-US" w:eastAsia="zh-CN"/>
        </w:rPr>
        <w:t>4</w:t>
      </w:r>
      <w:r>
        <w:rPr>
          <w:rFonts w:hint="eastAsia" w:ascii="仿宋_GB2312" w:hAnsi="宋体" w:eastAsia="仿宋_GB2312" w:cs="宋体"/>
          <w:b/>
          <w:sz w:val="24"/>
          <w:szCs w:val="24"/>
        </w:rPr>
        <w:t>.授予合同时变更数量的权力</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.1招标人有权对“招标内容及要求”所需的内容予以适当的增加或减少。</w:t>
      </w:r>
    </w:p>
    <w:p>
      <w:pPr>
        <w:spacing w:line="400" w:lineRule="exact"/>
        <w:rPr>
          <w:rFonts w:ascii="仿宋_GB2312" w:hAnsi="宋体" w:eastAsia="仿宋_GB2312" w:cs="宋体"/>
          <w:b/>
          <w:bCs/>
          <w:sz w:val="24"/>
          <w:szCs w:val="24"/>
        </w:rPr>
      </w:pPr>
      <w:r>
        <w:rPr>
          <w:rFonts w:hint="eastAsia" w:ascii="仿宋_GB2312" w:hAnsi="宋体" w:eastAsia="仿宋_GB2312" w:cs="宋体"/>
          <w:b/>
          <w:bCs/>
          <w:sz w:val="24"/>
          <w:szCs w:val="24"/>
          <w:lang w:val="en-US" w:eastAsia="zh-CN"/>
        </w:rPr>
        <w:t>25</w:t>
      </w:r>
      <w:r>
        <w:rPr>
          <w:rFonts w:hint="eastAsia" w:ascii="仿宋_GB2312" w:hAnsi="宋体" w:eastAsia="仿宋_GB2312" w:cs="宋体"/>
          <w:b/>
          <w:bCs/>
          <w:sz w:val="24"/>
          <w:szCs w:val="24"/>
        </w:rPr>
        <w:t>.招标项目行政监督部门</w:t>
      </w:r>
    </w:p>
    <w:p>
      <w:pPr>
        <w:spacing w:line="4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lang w:val="en-US" w:eastAsia="zh-CN"/>
        </w:rPr>
        <w:t>25</w:t>
      </w:r>
      <w:r>
        <w:rPr>
          <w:rFonts w:hint="eastAsia" w:ascii="仿宋_GB2312" w:hAnsi="宋体" w:eastAsia="仿宋_GB2312" w:cs="宋体"/>
          <w:sz w:val="24"/>
          <w:szCs w:val="24"/>
        </w:rPr>
        <w:t>.1招标项目行政监督部门可视情依法派员对本招标活动的全程进行监督。</w:t>
      </w:r>
    </w:p>
    <w:p>
      <w:pPr>
        <w:spacing w:line="400" w:lineRule="exact"/>
        <w:ind w:firstLine="480" w:firstLineChars="200"/>
        <w:rPr>
          <w:rFonts w:ascii="仿宋_GB2312" w:hAnsi="宋体" w:eastAsia="仿宋_GB2312" w:cs="宋体"/>
          <w:sz w:val="24"/>
          <w:szCs w:val="24"/>
        </w:rPr>
      </w:pPr>
    </w:p>
    <w:bookmarkEnd w:id="27"/>
    <w:bookmarkEnd w:id="28"/>
    <w:bookmarkEnd w:id="29"/>
    <w:bookmarkEnd w:id="30"/>
    <w:bookmarkEnd w:id="31"/>
    <w:bookmarkEnd w:id="32"/>
    <w:bookmarkEnd w:id="33"/>
    <w:bookmarkEnd w:id="34"/>
    <w:bookmarkEnd w:id="35"/>
    <w:bookmarkEnd w:id="36"/>
    <w:p>
      <w:pPr>
        <w:spacing w:line="440" w:lineRule="atLeast"/>
        <w:jc w:val="center"/>
        <w:outlineLvl w:val="0"/>
        <w:rPr>
          <w:rFonts w:ascii="仿宋_GB2312" w:hAnsi="宋体" w:eastAsia="仿宋_GB2312" w:cs="宋体"/>
          <w:b/>
          <w:sz w:val="36"/>
          <w:szCs w:val="36"/>
        </w:rPr>
      </w:pPr>
      <w:bookmarkStart w:id="157" w:name="_Toc463067549"/>
      <w:bookmarkStart w:id="158" w:name="_Toc464397477"/>
      <w:bookmarkStart w:id="159" w:name="_Toc464457724"/>
      <w:bookmarkStart w:id="160" w:name="_Toc463071843"/>
      <w:bookmarkStart w:id="161" w:name="_Toc462486150"/>
      <w:bookmarkStart w:id="162" w:name="_Toc464401432"/>
      <w:bookmarkStart w:id="163" w:name="_Toc377051046"/>
      <w:bookmarkStart w:id="164" w:name="_Toc462487381"/>
      <w:bookmarkStart w:id="165" w:name="_Toc464451585"/>
      <w:bookmarkStart w:id="166" w:name="_Toc466896435"/>
      <w:bookmarkStart w:id="167" w:name="_Toc463071390"/>
    </w:p>
    <w:p>
      <w:pPr>
        <w:widowControl/>
        <w:jc w:val="left"/>
        <w:rPr>
          <w:rFonts w:ascii="仿宋_GB2312" w:hAnsi="宋体" w:eastAsia="仿宋_GB2312" w:cs="宋体"/>
          <w:b/>
          <w:sz w:val="36"/>
          <w:szCs w:val="36"/>
        </w:rPr>
      </w:pPr>
      <w:r>
        <w:rPr>
          <w:rFonts w:ascii="仿宋_GB2312" w:hAnsi="宋体" w:eastAsia="仿宋_GB2312" w:cs="宋体"/>
          <w:b/>
          <w:sz w:val="36"/>
          <w:szCs w:val="36"/>
        </w:rPr>
        <w:br w:type="page"/>
      </w:r>
    </w:p>
    <w:p>
      <w:pPr>
        <w:spacing w:line="440" w:lineRule="atLeast"/>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第四部分  合同主要条款（参考文本）</w:t>
      </w:r>
    </w:p>
    <w:p>
      <w:pPr>
        <w:spacing w:line="440" w:lineRule="atLeast"/>
        <w:jc w:val="center"/>
        <w:outlineLvl w:val="0"/>
        <w:rPr>
          <w:rFonts w:ascii="仿宋_GB2312" w:hAnsi="宋体" w:eastAsia="仿宋_GB2312" w:cs="宋体"/>
          <w:b/>
          <w:sz w:val="36"/>
          <w:szCs w:val="36"/>
        </w:rPr>
      </w:pPr>
    </w:p>
    <w:p>
      <w:pPr>
        <w:spacing w:line="440" w:lineRule="atLeast"/>
        <w:jc w:val="center"/>
        <w:outlineLvl w:val="0"/>
        <w:rPr>
          <w:rFonts w:ascii="仿宋_GB2312" w:hAnsi="宋体" w:eastAsia="仿宋_GB2312" w:cs="宋体"/>
          <w:b/>
          <w:sz w:val="36"/>
          <w:szCs w:val="36"/>
        </w:rPr>
      </w:pPr>
    </w:p>
    <w:p>
      <w:pPr>
        <w:spacing w:line="440" w:lineRule="atLeast"/>
        <w:jc w:val="center"/>
        <w:outlineLvl w:val="0"/>
        <w:rPr>
          <w:rFonts w:ascii="仿宋_GB2312" w:hAnsi="宋体" w:eastAsia="仿宋_GB2312" w:cs="宋体"/>
          <w:b/>
          <w:sz w:val="36"/>
          <w:szCs w:val="36"/>
        </w:rPr>
      </w:pPr>
    </w:p>
    <w:tbl>
      <w:tblPr>
        <w:tblStyle w:val="27"/>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190" w:type="dxa"/>
          </w:tcPr>
          <w:p>
            <w:pPr>
              <w:spacing w:line="460" w:lineRule="exact"/>
              <w:ind w:left="105"/>
              <w:rPr>
                <w:rFonts w:ascii="仿宋_GB2312" w:eastAsia="仿宋_GB2312"/>
                <w:sz w:val="24"/>
                <w:szCs w:val="24"/>
              </w:rPr>
            </w:pPr>
            <w:r>
              <w:rPr>
                <w:rFonts w:ascii="仿宋_GB2312" w:hAnsi="宋体" w:eastAsia="仿宋_GB2312" w:cs="宋体"/>
                <w:sz w:val="24"/>
                <w:szCs w:val="24"/>
              </w:rPr>
              <w:br w:type="page"/>
            </w:r>
            <w:r>
              <w:rPr>
                <w:rFonts w:hint="eastAsia" w:ascii="仿宋_GB2312" w:hAnsi="宋体" w:eastAsia="仿宋_GB2312"/>
                <w:sz w:val="24"/>
                <w:szCs w:val="24"/>
              </w:rPr>
              <w:t>注释：</w:t>
            </w:r>
          </w:p>
          <w:p>
            <w:pPr>
              <w:spacing w:line="460" w:lineRule="exact"/>
              <w:ind w:firstLine="720" w:firstLineChars="300"/>
              <w:rPr>
                <w:rFonts w:ascii="仿宋_GB2312" w:eastAsia="仿宋_GB2312"/>
                <w:b/>
                <w:spacing w:val="20"/>
                <w:sz w:val="24"/>
                <w:szCs w:val="24"/>
              </w:rPr>
            </w:pPr>
            <w:r>
              <w:rPr>
                <w:rFonts w:hint="eastAsia" w:ascii="仿宋_GB2312" w:hAnsi="宋体" w:eastAsia="仿宋_GB2312"/>
                <w:sz w:val="24"/>
                <w:szCs w:val="24"/>
              </w:rPr>
              <w:t>本格式条款仅作为双方签订合同的参考，为阐明各方的权利和义务，经协商可增加新的条款。但不得与招标文件、投标文件的实质性内容相背离。</w:t>
            </w:r>
          </w:p>
        </w:tc>
      </w:tr>
    </w:tbl>
    <w:p>
      <w:pPr>
        <w:spacing w:line="460" w:lineRule="exact"/>
        <w:ind w:left="-284"/>
        <w:jc w:val="right"/>
        <w:rPr>
          <w:rFonts w:ascii="仿宋_GB2312" w:eastAsia="仿宋_GB2312"/>
          <w:b/>
          <w:bCs/>
          <w:sz w:val="24"/>
          <w:szCs w:val="24"/>
        </w:rPr>
      </w:pPr>
    </w:p>
    <w:p>
      <w:pPr>
        <w:spacing w:line="440" w:lineRule="atLeast"/>
        <w:rPr>
          <w:rFonts w:ascii="仿宋_GB2312" w:eastAsia="仿宋_GB2312"/>
          <w:sz w:val="24"/>
          <w:szCs w:val="24"/>
        </w:rPr>
      </w:pPr>
      <w:r>
        <w:rPr>
          <w:rFonts w:hint="eastAsia" w:ascii="仿宋_GB2312" w:hAnsi="宋体" w:eastAsia="仿宋_GB2312"/>
          <w:sz w:val="24"/>
          <w:szCs w:val="24"/>
        </w:rPr>
        <w:t>合同订立遵循《合同法》，按照招标文件要求签订。</w:t>
      </w:r>
    </w:p>
    <w:p>
      <w:pPr>
        <w:widowControl/>
        <w:jc w:val="left"/>
        <w:rPr>
          <w:rFonts w:ascii="仿宋_GB2312" w:hAnsi="宋体" w:eastAsia="仿宋_GB2312" w:cs="宋体"/>
          <w:sz w:val="24"/>
          <w:szCs w:val="24"/>
        </w:rPr>
      </w:pP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bookmarkEnd w:id="157"/>
    <w:bookmarkEnd w:id="158"/>
    <w:bookmarkEnd w:id="159"/>
    <w:bookmarkEnd w:id="160"/>
    <w:bookmarkEnd w:id="161"/>
    <w:bookmarkEnd w:id="162"/>
    <w:bookmarkEnd w:id="163"/>
    <w:bookmarkEnd w:id="164"/>
    <w:bookmarkEnd w:id="165"/>
    <w:bookmarkEnd w:id="166"/>
    <w:bookmarkEnd w:id="167"/>
    <w:p>
      <w:pPr>
        <w:pStyle w:val="24"/>
        <w:shd w:val="clear" w:color="auto" w:fill="FFFFFF"/>
        <w:spacing w:before="75" w:beforeAutospacing="0" w:after="75" w:afterAutospacing="0" w:line="330" w:lineRule="atLeast"/>
        <w:jc w:val="center"/>
        <w:rPr>
          <w:rFonts w:ascii="微软雅黑" w:hAnsi="微软雅黑" w:eastAsia="微软雅黑" w:cs="微软雅黑"/>
          <w:sz w:val="19"/>
          <w:szCs w:val="19"/>
        </w:rPr>
      </w:pPr>
      <w:bookmarkStart w:id="168" w:name="_Toc225312833"/>
      <w:bookmarkStart w:id="169" w:name="_Toc279482434"/>
      <w:bookmarkStart w:id="170" w:name="_Toc277925725"/>
      <w:r>
        <w:rPr>
          <w:rStyle w:val="30"/>
          <w:rFonts w:ascii="宋体" w:hAnsi="宋体" w:eastAsia="宋体" w:cs="宋体"/>
          <w:sz w:val="31"/>
          <w:szCs w:val="31"/>
          <w:shd w:val="clear" w:color="auto" w:fill="FFFFFF"/>
        </w:rPr>
        <w:t>合同（参考文本）</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Fonts w:hint="eastAsia" w:ascii="宋体" w:hAnsi="宋体" w:eastAsia="宋体" w:cs="宋体"/>
          <w:shd w:val="clear" w:color="auto" w:fill="FFFFFF"/>
        </w:rPr>
        <w:t> </w:t>
      </w:r>
    </w:p>
    <w:p>
      <w:pPr>
        <w:pStyle w:val="24"/>
        <w:shd w:val="clear" w:color="auto" w:fill="FFFFFF"/>
        <w:spacing w:before="75" w:beforeAutospacing="0" w:after="75" w:afterAutospacing="0" w:line="330" w:lineRule="atLeast"/>
        <w:jc w:val="center"/>
        <w:rPr>
          <w:rFonts w:ascii="微软雅黑" w:hAnsi="微软雅黑" w:eastAsia="微软雅黑" w:cs="微软雅黑"/>
          <w:sz w:val="19"/>
          <w:szCs w:val="19"/>
        </w:rPr>
      </w:pPr>
      <w:r>
        <w:rPr>
          <w:rStyle w:val="30"/>
          <w:rFonts w:hint="eastAsia" w:ascii="宋体" w:hAnsi="宋体" w:eastAsia="宋体" w:cs="宋体"/>
          <w:shd w:val="clear" w:color="auto" w:fill="FFFFFF"/>
        </w:rPr>
        <w:t>编制说明</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1、签订合同应遵守</w:t>
      </w:r>
      <w:r>
        <w:rPr>
          <w:rStyle w:val="30"/>
          <w:rFonts w:hint="eastAsia" w:ascii="宋体" w:hAnsi="宋体" w:eastAsia="宋体" w:cs="宋体"/>
          <w:shd w:val="clear" w:color="auto" w:fill="FFFFFF"/>
          <w:lang w:eastAsia="zh-CN"/>
        </w:rPr>
        <w:t>招标文件要求</w:t>
      </w:r>
      <w:r>
        <w:rPr>
          <w:rStyle w:val="30"/>
          <w:rFonts w:hint="eastAsia" w:ascii="宋体" w:hAnsi="宋体" w:eastAsia="宋体" w:cs="宋体"/>
          <w:shd w:val="clear" w:color="auto" w:fill="FFFFFF"/>
        </w:rPr>
        <w:t>、合同法。</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2、签订合同时，</w:t>
      </w:r>
      <w:r>
        <w:rPr>
          <w:rStyle w:val="30"/>
          <w:rFonts w:hint="eastAsia" w:ascii="宋体" w:hAnsi="宋体" w:eastAsia="宋体" w:cs="宋体"/>
          <w:shd w:val="clear" w:color="auto" w:fill="FFFFFF"/>
          <w:lang w:eastAsia="zh-CN"/>
        </w:rPr>
        <w:t>招标人</w:t>
      </w:r>
      <w:r>
        <w:rPr>
          <w:rStyle w:val="30"/>
          <w:rFonts w:hint="eastAsia" w:ascii="宋体" w:hAnsi="宋体" w:eastAsia="宋体" w:cs="宋体"/>
          <w:shd w:val="clear" w:color="auto" w:fill="FFFFFF"/>
        </w:rPr>
        <w:t>与中标人应结合招标文件第五章规定填列相应内容。招标文件第五章已有规定的，双方均不得变更或调整；招标文件第五章未作规定的，双方可通过友好协商进行约定。</w:t>
      </w:r>
    </w:p>
    <w:p>
      <w:pPr>
        <w:pStyle w:val="24"/>
        <w:shd w:val="clear" w:color="auto" w:fill="FFFFFF"/>
        <w:spacing w:before="75" w:beforeAutospacing="0" w:after="75" w:afterAutospacing="0" w:line="330" w:lineRule="atLeast"/>
        <w:rPr>
          <w:rFonts w:ascii="微软雅黑" w:hAnsi="微软雅黑" w:eastAsia="微软雅黑" w:cs="微软雅黑"/>
          <w:sz w:val="19"/>
          <w:szCs w:val="19"/>
        </w:rPr>
      </w:pPr>
      <w:r>
        <w:rPr>
          <w:rStyle w:val="30"/>
          <w:rFonts w:hint="eastAsia" w:ascii="宋体" w:hAnsi="宋体" w:eastAsia="宋体" w:cs="宋体"/>
          <w:shd w:val="clear" w:color="auto" w:fill="FFFFFF"/>
        </w:rPr>
        <w:t>3、国家有关部门对若干合同有规范文本的，可使用相应合同文本。</w:t>
      </w:r>
    </w:p>
    <w:p>
      <w:pPr>
        <w:spacing w:line="3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w:t>
      </w:r>
    </w:p>
    <w:p>
      <w:pPr>
        <w:jc w:val="center"/>
        <w:rPr>
          <w:rFonts w:hint="eastAsia" w:ascii="仿宋_GB2312" w:hAnsi="仿宋_GB2312" w:eastAsia="仿宋_GB2312" w:cs="仿宋_GB2312"/>
          <w:b/>
          <w:bCs/>
          <w:color w:val="auto"/>
          <w:w w:val="90"/>
          <w:sz w:val="28"/>
          <w:szCs w:val="28"/>
          <w:highlight w:val="none"/>
        </w:rPr>
      </w:pPr>
      <w:bookmarkStart w:id="171" w:name="_Toc421861344"/>
      <w:bookmarkStart w:id="172" w:name="_Toc377051047"/>
      <w:r>
        <w:rPr>
          <w:rFonts w:hint="eastAsia" w:ascii="仿宋_GB2312" w:hAnsi="仿宋_GB2312" w:eastAsia="仿宋_GB2312" w:cs="仿宋_GB2312"/>
          <w:b/>
          <w:bCs/>
          <w:color w:val="auto"/>
          <w:w w:val="90"/>
          <w:sz w:val="28"/>
          <w:szCs w:val="28"/>
          <w:highlight w:val="none"/>
        </w:rPr>
        <w:t>存款协议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甲方：</w:t>
      </w: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乙方：（中标人全称）</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局市级</w:t>
      </w:r>
      <w:r>
        <w:rPr>
          <w:rFonts w:hint="eastAsia" w:ascii="仿宋_GB2312" w:hAnsi="仿宋_GB2312" w:eastAsia="仿宋_GB2312" w:cs="仿宋_GB2312"/>
          <w:b/>
          <w:bCs/>
          <w:color w:val="auto"/>
          <w:w w:val="90"/>
          <w:sz w:val="28"/>
          <w:szCs w:val="28"/>
          <w:highlight w:val="none"/>
          <w:lang w:val="zh-CN" w:eastAsia="zh-CN"/>
        </w:rPr>
        <w:t>救灾预备金</w:t>
      </w:r>
      <w:r>
        <w:rPr>
          <w:rFonts w:hint="eastAsia" w:ascii="仿宋_GB2312" w:hAnsi="仿宋_GB2312" w:eastAsia="仿宋_GB2312" w:cs="仿宋_GB2312"/>
          <w:b/>
          <w:bCs/>
          <w:color w:val="auto"/>
          <w:w w:val="90"/>
          <w:sz w:val="28"/>
          <w:szCs w:val="28"/>
          <w:highlight w:val="none"/>
          <w:lang w:val="zh-CN"/>
        </w:rPr>
        <w:t>存放银行招标项目</w:t>
      </w:r>
      <w:r>
        <w:rPr>
          <w:rFonts w:hint="eastAsia" w:ascii="仿宋_GB2312" w:hAnsi="仿宋_GB2312" w:eastAsia="仿宋_GB2312" w:cs="仿宋_GB2312"/>
          <w:b/>
          <w:bCs/>
          <w:color w:val="auto"/>
          <w:w w:val="90"/>
          <w:sz w:val="28"/>
          <w:szCs w:val="28"/>
          <w:highlight w:val="none"/>
        </w:rPr>
        <w:t>经公开招投标确定存放银行，并达成如下协议：</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1.服务期限：</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甲方将</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元人民币资金转</w:t>
      </w:r>
      <w:r>
        <w:rPr>
          <w:rFonts w:hint="eastAsia" w:ascii="仿宋_GB2312" w:hAnsi="仿宋_GB2312" w:eastAsia="仿宋_GB2312" w:cs="仿宋_GB2312"/>
          <w:b/>
          <w:bCs/>
          <w:color w:val="auto"/>
          <w:w w:val="90"/>
          <w:sz w:val="28"/>
          <w:szCs w:val="28"/>
          <w:highlight w:val="none"/>
          <w:lang w:val="en-US" w:eastAsia="zh-CN"/>
        </w:rPr>
        <w:t>入乙</w:t>
      </w:r>
      <w:r>
        <w:rPr>
          <w:rFonts w:hint="eastAsia" w:ascii="仿宋_GB2312" w:hAnsi="仿宋_GB2312" w:eastAsia="仿宋_GB2312" w:cs="仿宋_GB2312"/>
          <w:b/>
          <w:bCs/>
          <w:color w:val="auto"/>
          <w:w w:val="90"/>
          <w:sz w:val="28"/>
          <w:szCs w:val="28"/>
          <w:highlight w:val="none"/>
        </w:rPr>
        <w:t>方</w:t>
      </w:r>
      <w:r>
        <w:rPr>
          <w:rFonts w:hint="eastAsia" w:ascii="仿宋_GB2312" w:hAnsi="仿宋_GB2312" w:eastAsia="仿宋_GB2312" w:cs="仿宋_GB2312"/>
          <w:b/>
          <w:bCs/>
          <w:color w:val="auto"/>
          <w:w w:val="90"/>
          <w:sz w:val="28"/>
          <w:szCs w:val="28"/>
          <w:highlight w:val="none"/>
          <w:lang w:eastAsia="zh-CN"/>
        </w:rPr>
        <w:t>银行账户</w:t>
      </w:r>
      <w:r>
        <w:rPr>
          <w:rFonts w:hint="eastAsia" w:ascii="仿宋_GB2312" w:hAnsi="仿宋_GB2312" w:eastAsia="仿宋_GB2312" w:cs="仿宋_GB2312"/>
          <w:b/>
          <w:bCs/>
          <w:color w:val="auto"/>
          <w:w w:val="90"/>
          <w:sz w:val="28"/>
          <w:szCs w:val="28"/>
          <w:highlight w:val="none"/>
        </w:rPr>
        <w:t>办理</w:t>
      </w:r>
      <w:r>
        <w:rPr>
          <w:rFonts w:hint="eastAsia" w:ascii="仿宋_GB2312" w:hAnsi="仿宋_GB2312" w:eastAsia="仿宋_GB2312" w:cs="仿宋_GB2312"/>
          <w:b/>
          <w:bCs/>
          <w:color w:val="auto"/>
          <w:w w:val="90"/>
          <w:sz w:val="28"/>
          <w:szCs w:val="28"/>
          <w:highlight w:val="none"/>
          <w:lang w:eastAsia="zh-CN"/>
        </w:rPr>
        <w:t>定</w:t>
      </w:r>
      <w:r>
        <w:rPr>
          <w:rFonts w:hint="eastAsia" w:ascii="仿宋_GB2312" w:hAnsi="仿宋_GB2312" w:eastAsia="仿宋_GB2312" w:cs="仿宋_GB2312"/>
          <w:b/>
          <w:bCs/>
          <w:color w:val="auto"/>
          <w:w w:val="90"/>
          <w:sz w:val="28"/>
          <w:szCs w:val="28"/>
          <w:highlight w:val="none"/>
        </w:rPr>
        <w:t>期存款</w:t>
      </w:r>
      <w:r>
        <w:rPr>
          <w:rFonts w:hint="eastAsia" w:ascii="仿宋_GB2312" w:hAnsi="仿宋_GB2312" w:eastAsia="仿宋_GB2312" w:cs="仿宋_GB2312"/>
          <w:b/>
          <w:bCs/>
          <w:color w:val="auto"/>
          <w:w w:val="90"/>
          <w:sz w:val="28"/>
          <w:szCs w:val="28"/>
          <w:highlight w:val="none"/>
          <w:lang w:eastAsia="zh-CN"/>
        </w:rPr>
        <w:t>业务</w:t>
      </w:r>
      <w:r>
        <w:rPr>
          <w:rFonts w:hint="eastAsia" w:ascii="仿宋_GB2312" w:hAnsi="仿宋_GB2312" w:eastAsia="仿宋_GB2312" w:cs="仿宋_GB2312"/>
          <w:b/>
          <w:bCs/>
          <w:color w:val="auto"/>
          <w:w w:val="90"/>
          <w:sz w:val="28"/>
          <w:szCs w:val="28"/>
          <w:highlight w:val="none"/>
        </w:rPr>
        <w:t>（</w:t>
      </w:r>
      <w:r>
        <w:rPr>
          <w:rFonts w:hint="eastAsia" w:ascii="仿宋_GB2312" w:hAnsi="仿宋_GB2312" w:eastAsia="仿宋_GB2312" w:cs="仿宋_GB2312"/>
          <w:b/>
          <w:bCs/>
          <w:color w:val="auto"/>
          <w:w w:val="90"/>
          <w:sz w:val="28"/>
          <w:szCs w:val="28"/>
          <w:highlight w:val="none"/>
          <w:lang w:eastAsia="zh-CN"/>
        </w:rPr>
        <w:t>账户名称：</w:t>
      </w:r>
      <w:r>
        <w:rPr>
          <w:rFonts w:hint="eastAsia" w:ascii="仿宋_GB2312" w:hAnsi="仿宋_GB2312" w:eastAsia="仿宋_GB2312" w:cs="仿宋_GB2312"/>
          <w:b/>
          <w:bCs/>
          <w:color w:val="auto"/>
          <w:w w:val="90"/>
          <w:sz w:val="28"/>
          <w:szCs w:val="28"/>
          <w:highlight w:val="none"/>
          <w:lang w:val="zh-CN"/>
        </w:rPr>
        <w:t>泉州市</w:t>
      </w:r>
      <w:r>
        <w:rPr>
          <w:rFonts w:hint="eastAsia" w:ascii="仿宋_GB2312" w:hAnsi="仿宋_GB2312" w:eastAsia="仿宋_GB2312" w:cs="仿宋_GB2312"/>
          <w:b/>
          <w:bCs/>
          <w:color w:val="auto"/>
          <w:w w:val="90"/>
          <w:sz w:val="28"/>
          <w:szCs w:val="28"/>
          <w:highlight w:val="none"/>
          <w:lang w:val="zh-CN" w:eastAsia="zh-CN"/>
        </w:rPr>
        <w:t>应急管理</w:t>
      </w:r>
      <w:r>
        <w:rPr>
          <w:rFonts w:hint="eastAsia" w:ascii="仿宋_GB2312" w:hAnsi="仿宋_GB2312" w:eastAsia="仿宋_GB2312" w:cs="仿宋_GB2312"/>
          <w:b/>
          <w:bCs/>
          <w:color w:val="auto"/>
          <w:w w:val="90"/>
          <w:sz w:val="28"/>
          <w:szCs w:val="28"/>
          <w:highlight w:val="none"/>
          <w:lang w:val="zh-CN"/>
        </w:rPr>
        <w:t>局</w:t>
      </w:r>
      <w:r>
        <w:rPr>
          <w:rFonts w:hint="eastAsia" w:ascii="仿宋_GB2312" w:hAnsi="仿宋_GB2312" w:eastAsia="仿宋_GB2312" w:cs="仿宋_GB2312"/>
          <w:b/>
          <w:bCs/>
          <w:color w:val="auto"/>
          <w:w w:val="90"/>
          <w:sz w:val="28"/>
          <w:szCs w:val="28"/>
          <w:highlight w:val="none"/>
        </w:rPr>
        <w:t>，开户行：</w:t>
      </w:r>
      <w:r>
        <w:rPr>
          <w:rFonts w:hint="eastAsia" w:ascii="仿宋_GB2312" w:hAnsi="仿宋_GB2312" w:eastAsia="仿宋_GB2312" w:cs="仿宋_GB2312"/>
          <w:b/>
          <w:bCs/>
          <w:color w:val="auto"/>
          <w:w w:val="90"/>
          <w:sz w:val="28"/>
          <w:szCs w:val="28"/>
          <w:highlight w:val="none"/>
          <w:u w:val="single"/>
        </w:rPr>
        <w:t xml:space="preserve"> </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 xml:space="preserve"> ，账号：</w:t>
      </w:r>
      <w:r>
        <w:rPr>
          <w:rFonts w:hint="eastAsia" w:ascii="仿宋_GB2312" w:hAnsi="仿宋_GB2312" w:eastAsia="仿宋_GB2312" w:cs="仿宋_GB2312"/>
          <w:b/>
          <w:bCs/>
          <w:color w:val="auto"/>
          <w:w w:val="90"/>
          <w:sz w:val="28"/>
          <w:szCs w:val="28"/>
          <w:highlight w:val="none"/>
          <w:u w:val="single"/>
        </w:rPr>
        <w:t xml:space="preserve"> </w:t>
      </w:r>
      <w:r>
        <w:rPr>
          <w:rFonts w:hint="eastAsia" w:ascii="仿宋_GB2312" w:hAnsi="仿宋_GB2312" w:eastAsia="仿宋_GB2312" w:cs="仿宋_GB2312"/>
          <w:b/>
          <w:bCs/>
          <w:color w:val="auto"/>
          <w:w w:val="90"/>
          <w:sz w:val="28"/>
          <w:szCs w:val="28"/>
          <w:highlight w:val="none"/>
          <w:u w:val="single"/>
          <w:lang w:val="en-US" w:eastAsia="zh-CN"/>
        </w:rPr>
        <w:t xml:space="preserve">          </w:t>
      </w:r>
      <w:r>
        <w:rPr>
          <w:rFonts w:hint="eastAsia" w:ascii="仿宋_GB2312" w:hAnsi="仿宋_GB2312" w:eastAsia="仿宋_GB2312" w:cs="仿宋_GB2312"/>
          <w:b/>
          <w:bCs/>
          <w:color w:val="auto"/>
          <w:w w:val="90"/>
          <w:sz w:val="28"/>
          <w:szCs w:val="28"/>
          <w:highlight w:val="none"/>
        </w:rPr>
        <w:t xml:space="preserve"> ）</w:t>
      </w: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rPr>
        <w:t>期限</w:t>
      </w:r>
      <w:r>
        <w:rPr>
          <w:rFonts w:hint="eastAsia" w:ascii="仿宋_GB2312" w:hAnsi="仿宋_GB2312" w:eastAsia="仿宋_GB2312" w:cs="仿宋_GB2312"/>
          <w:b/>
          <w:bCs/>
          <w:color w:val="auto"/>
          <w:w w:val="90"/>
          <w:sz w:val="28"/>
          <w:szCs w:val="28"/>
          <w:highlight w:val="none"/>
          <w:u w:val="single"/>
          <w:lang w:val="en-US" w:eastAsia="zh-CN"/>
        </w:rPr>
        <w:t xml:space="preserve"> 三 </w:t>
      </w:r>
      <w:r>
        <w:rPr>
          <w:rFonts w:hint="eastAsia" w:ascii="仿宋_GB2312" w:hAnsi="仿宋_GB2312" w:eastAsia="仿宋_GB2312" w:cs="仿宋_GB2312"/>
          <w:b/>
          <w:bCs/>
          <w:color w:val="auto"/>
          <w:w w:val="90"/>
          <w:sz w:val="28"/>
          <w:szCs w:val="28"/>
          <w:highlight w:val="none"/>
        </w:rPr>
        <w:t>年。</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2.乙方须履行的服务内容：</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（1）确保资金存放及使用安全。严格执行国家相关法律法规，具备完善的内控制度建设，业务操作流程规范、安全、准确，有效防范资金安全隐患风险；</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lang w:val="en-US" w:eastAsia="zh-CN"/>
        </w:rPr>
        <w:t>2</w:t>
      </w:r>
      <w:r>
        <w:rPr>
          <w:rFonts w:hint="eastAsia" w:ascii="仿宋_GB2312" w:hAnsi="仿宋_GB2312" w:eastAsia="仿宋_GB2312" w:cs="仿宋_GB2312"/>
          <w:b/>
          <w:bCs/>
          <w:color w:val="auto"/>
          <w:w w:val="90"/>
          <w:sz w:val="28"/>
          <w:szCs w:val="28"/>
          <w:highlight w:val="none"/>
          <w:lang w:eastAsia="zh-CN"/>
        </w:rPr>
        <w:t>）</w:t>
      </w:r>
      <w:r>
        <w:rPr>
          <w:rFonts w:hint="eastAsia" w:ascii="仿宋_GB2312" w:hAnsi="仿宋_GB2312" w:eastAsia="仿宋_GB2312" w:cs="仿宋_GB2312"/>
          <w:b/>
          <w:bCs/>
          <w:color w:val="auto"/>
          <w:w w:val="90"/>
          <w:sz w:val="28"/>
          <w:szCs w:val="28"/>
          <w:highlight w:val="none"/>
          <w:lang w:val="en-US" w:eastAsia="zh-CN"/>
        </w:rPr>
        <w:t>提供高效便捷的账户资金管理服务。协助采购单位开设银行账户，日常做到汇划、对账、清算一日清，准确快捷办理支票、汇兑、对账等结算业务；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（3）优化资金存款结构。</w:t>
      </w:r>
      <w:r>
        <w:rPr>
          <w:rFonts w:hint="eastAsia" w:ascii="仿宋_GB2312" w:hAnsi="仿宋_GB2312" w:eastAsia="仿宋_GB2312" w:cs="仿宋_GB2312"/>
          <w:b/>
          <w:bCs/>
          <w:color w:val="auto"/>
          <w:w w:val="90"/>
          <w:sz w:val="28"/>
          <w:szCs w:val="28"/>
          <w:highlight w:val="none"/>
        </w:rPr>
        <w:t>自甲方资金到账后，乙方按双方约定的年存款利率</w:t>
      </w:r>
      <w:r>
        <w:rPr>
          <w:rFonts w:hint="eastAsia" w:ascii="仿宋_GB2312" w:hAnsi="仿宋_GB2312" w:eastAsia="仿宋_GB2312" w:cs="仿宋_GB2312"/>
          <w:b/>
          <w:bCs/>
          <w:color w:val="auto"/>
          <w:w w:val="90"/>
          <w:sz w:val="28"/>
          <w:szCs w:val="28"/>
          <w:highlight w:val="none"/>
          <w:u w:val="single"/>
          <w:lang w:val="en-US" w:eastAsia="zh-CN"/>
        </w:rPr>
        <w:t xml:space="preserve">3.575% </w:t>
      </w:r>
      <w:r>
        <w:rPr>
          <w:rFonts w:hint="eastAsia" w:ascii="仿宋_GB2312" w:hAnsi="仿宋_GB2312" w:eastAsia="仿宋_GB2312" w:cs="仿宋_GB2312"/>
          <w:b/>
          <w:bCs/>
          <w:color w:val="auto"/>
          <w:w w:val="90"/>
          <w:sz w:val="28"/>
          <w:szCs w:val="28"/>
          <w:highlight w:val="none"/>
        </w:rPr>
        <w:t>开始计息。乙方按</w:t>
      </w:r>
      <w:r>
        <w:rPr>
          <w:rFonts w:hint="eastAsia" w:ascii="仿宋_GB2312" w:hAnsi="仿宋_GB2312" w:eastAsia="仿宋_GB2312" w:cs="仿宋_GB2312"/>
          <w:b/>
          <w:bCs/>
          <w:color w:val="auto"/>
          <w:w w:val="90"/>
          <w:sz w:val="28"/>
          <w:szCs w:val="28"/>
          <w:highlight w:val="none"/>
          <w:lang w:val="en-US" w:eastAsia="zh-CN"/>
        </w:rPr>
        <w:t>年</w:t>
      </w:r>
      <w:r>
        <w:rPr>
          <w:rFonts w:hint="eastAsia" w:ascii="仿宋_GB2312" w:hAnsi="仿宋_GB2312" w:eastAsia="仿宋_GB2312" w:cs="仿宋_GB2312"/>
          <w:b/>
          <w:bCs/>
          <w:color w:val="auto"/>
          <w:w w:val="90"/>
          <w:sz w:val="28"/>
          <w:szCs w:val="28"/>
          <w:highlight w:val="none"/>
        </w:rPr>
        <w:t>计算利息，并于本金到期时一并缴入甲方指定账户。</w:t>
      </w:r>
      <w:r>
        <w:rPr>
          <w:rFonts w:hint="eastAsia" w:ascii="仿宋_GB2312" w:hAnsi="仿宋_GB2312" w:eastAsia="仿宋_GB2312" w:cs="仿宋_GB2312"/>
          <w:b/>
          <w:bCs/>
          <w:color w:val="auto"/>
          <w:w w:val="9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（4）配备金融服务团队及综合服务人员。为采购单位日常业务开展、系统正常运行等方面提供支持保障，配合</w:t>
      </w:r>
      <w:r>
        <w:rPr>
          <w:rFonts w:hint="eastAsia" w:ascii="仿宋_GB2312" w:hAnsi="仿宋_GB2312" w:eastAsia="仿宋_GB2312" w:cs="仿宋_GB2312"/>
          <w:b/>
          <w:bCs/>
          <w:color w:val="auto"/>
          <w:w w:val="90"/>
          <w:sz w:val="28"/>
          <w:szCs w:val="28"/>
          <w:highlight w:val="none"/>
          <w:lang w:eastAsia="zh-CN"/>
        </w:rPr>
        <w:t>采购</w:t>
      </w:r>
      <w:r>
        <w:rPr>
          <w:rFonts w:hint="eastAsia" w:ascii="仿宋_GB2312" w:hAnsi="仿宋_GB2312" w:eastAsia="仿宋_GB2312" w:cs="仿宋_GB2312"/>
          <w:b/>
          <w:bCs/>
          <w:color w:val="auto"/>
          <w:w w:val="90"/>
          <w:sz w:val="28"/>
          <w:szCs w:val="28"/>
          <w:highlight w:val="none"/>
          <w:lang w:val="en-US" w:eastAsia="zh-CN"/>
        </w:rPr>
        <w:t>单位做好账务查询、对账、分账核算等配套服务。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default"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（5）提供</w:t>
      </w:r>
      <w:r>
        <w:rPr>
          <w:rFonts w:hint="eastAsia" w:ascii="仿宋_GB2312" w:hAnsi="仿宋_GB2312" w:eastAsia="仿宋_GB2312" w:cs="仿宋_GB2312"/>
          <w:b/>
          <w:bCs/>
          <w:color w:val="auto"/>
          <w:w w:val="90"/>
          <w:sz w:val="28"/>
          <w:szCs w:val="28"/>
          <w:highlight w:val="none"/>
          <w:lang w:eastAsia="zh-CN"/>
        </w:rPr>
        <w:t>应急服务需求：建立支付清算、资金汇划、现金供应等业务系统的应急机制，确保救灾款项第一时间到达指定收款人账户。在采购单位存款总额范围内，需紧急启用救灾预备金时，银行必须第一时间积极配合，启动快速审批通道，简化业务流程，提高业务办理效率。</w:t>
      </w:r>
      <w:r>
        <w:rPr>
          <w:rFonts w:hint="eastAsia" w:ascii="仿宋_GB2312" w:hAnsi="仿宋_GB2312" w:eastAsia="仿宋_GB2312" w:cs="仿宋_GB2312"/>
          <w:b/>
          <w:bCs/>
          <w:color w:val="auto"/>
          <w:w w:val="90"/>
          <w:sz w:val="28"/>
          <w:szCs w:val="28"/>
          <w:highlight w:val="none"/>
          <w:lang w:val="en-US" w:eastAsia="zh-CN"/>
        </w:rPr>
        <w:t>在接到</w:t>
      </w:r>
      <w:r>
        <w:rPr>
          <w:rFonts w:hint="eastAsia" w:ascii="仿宋_GB2312" w:hAnsi="仿宋_GB2312" w:eastAsia="仿宋_GB2312" w:cs="仿宋_GB2312"/>
          <w:b/>
          <w:bCs/>
          <w:color w:val="auto"/>
          <w:w w:val="90"/>
          <w:sz w:val="28"/>
          <w:szCs w:val="28"/>
          <w:highlight w:val="none"/>
          <w:lang w:eastAsia="zh-CN"/>
        </w:rPr>
        <w:t>采购单位</w:t>
      </w:r>
      <w:r>
        <w:rPr>
          <w:rFonts w:hint="eastAsia" w:ascii="仿宋_GB2312" w:hAnsi="仿宋_GB2312" w:eastAsia="仿宋_GB2312" w:cs="仿宋_GB2312"/>
          <w:b/>
          <w:bCs/>
          <w:color w:val="auto"/>
          <w:w w:val="90"/>
          <w:sz w:val="28"/>
          <w:szCs w:val="28"/>
          <w:highlight w:val="none"/>
          <w:lang w:val="en-US" w:eastAsia="zh-CN"/>
        </w:rPr>
        <w:t>的提款信息后，</w:t>
      </w:r>
      <w:r>
        <w:rPr>
          <w:rFonts w:hint="eastAsia" w:ascii="仿宋_GB2312" w:hAnsi="仿宋_GB2312" w:eastAsia="仿宋_GB2312" w:cs="仿宋_GB2312"/>
          <w:b/>
          <w:bCs/>
          <w:color w:val="auto"/>
          <w:w w:val="90"/>
          <w:sz w:val="28"/>
          <w:szCs w:val="28"/>
          <w:highlight w:val="none"/>
          <w:lang w:eastAsia="zh-CN"/>
        </w:rPr>
        <w:t>银行</w:t>
      </w:r>
      <w:r>
        <w:rPr>
          <w:rFonts w:hint="eastAsia" w:ascii="仿宋_GB2312" w:hAnsi="仿宋_GB2312" w:eastAsia="仿宋_GB2312" w:cs="仿宋_GB2312"/>
          <w:b/>
          <w:bCs/>
          <w:color w:val="auto"/>
          <w:w w:val="90"/>
          <w:sz w:val="28"/>
          <w:szCs w:val="28"/>
          <w:highlight w:val="none"/>
          <w:lang w:val="en-US" w:eastAsia="zh-CN"/>
        </w:rPr>
        <w:t>应在24小时内按</w:t>
      </w:r>
      <w:r>
        <w:rPr>
          <w:rFonts w:hint="eastAsia" w:ascii="仿宋_GB2312" w:hAnsi="仿宋_GB2312" w:eastAsia="仿宋_GB2312" w:cs="仿宋_GB2312"/>
          <w:b/>
          <w:bCs/>
          <w:color w:val="auto"/>
          <w:w w:val="90"/>
          <w:sz w:val="28"/>
          <w:szCs w:val="28"/>
          <w:highlight w:val="none"/>
          <w:lang w:eastAsia="zh-CN"/>
        </w:rPr>
        <w:t>采购单位</w:t>
      </w:r>
      <w:r>
        <w:rPr>
          <w:rFonts w:hint="eastAsia" w:ascii="仿宋_GB2312" w:hAnsi="仿宋_GB2312" w:eastAsia="仿宋_GB2312" w:cs="仿宋_GB2312"/>
          <w:b/>
          <w:bCs/>
          <w:color w:val="auto"/>
          <w:w w:val="90"/>
          <w:sz w:val="28"/>
          <w:szCs w:val="28"/>
          <w:highlight w:val="none"/>
          <w:lang w:val="en-US" w:eastAsia="zh-CN"/>
        </w:rPr>
        <w:t>出具的金额及汇款要求汇出款项并确保资金全额到位。同时，</w:t>
      </w:r>
      <w:r>
        <w:rPr>
          <w:rFonts w:hint="eastAsia" w:ascii="仿宋_GB2312" w:hAnsi="仿宋_GB2312" w:eastAsia="仿宋_GB2312" w:cs="仿宋_GB2312"/>
          <w:b/>
          <w:bCs/>
          <w:color w:val="auto"/>
          <w:w w:val="90"/>
          <w:sz w:val="28"/>
          <w:szCs w:val="28"/>
          <w:highlight w:val="none"/>
          <w:lang w:eastAsia="zh-CN"/>
        </w:rPr>
        <w:t>切实保障灾区现金供应，满足救灾期间现金支付需求。未达到应急服务需求的，甲方有权要求乙方按照提取额度的</w:t>
      </w:r>
      <w:r>
        <w:rPr>
          <w:rFonts w:hint="eastAsia" w:ascii="仿宋_GB2312" w:hAnsi="仿宋_GB2312" w:eastAsia="仿宋_GB2312" w:cs="仿宋_GB2312"/>
          <w:b/>
          <w:bCs/>
          <w:color w:val="auto"/>
          <w:w w:val="90"/>
          <w:sz w:val="28"/>
          <w:szCs w:val="28"/>
          <w:highlight w:val="none"/>
          <w:lang w:val="en-US" w:eastAsia="zh-CN"/>
        </w:rPr>
        <w:t>1%进行赔偿。</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3.在资金存放期间发生以下情形，甲方有权提前收回中标银行的存放资金（包含本金及利息），没收履约保证金，并在3年内取消该银行参加本单位财政资金竞争性存放的竞标资格：</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（一）中标银行在资金存放期间出现资金安全事故和重大违规行为的；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（二）监管评级降低，监管部门认为存在较大运营风险的；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（三）有不正当投标行为；</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（四）未遵守廉政承诺或在资金存放中存在其他利益输送行为的；</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（五）没有按照中标协议承诺履行相应责任和义务；</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（六）其他妨碍财政资金安全的情形。</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4、本协议经</w:t>
      </w:r>
      <w:r>
        <w:rPr>
          <w:rFonts w:hint="eastAsia" w:ascii="仿宋_GB2312" w:hAnsi="仿宋_GB2312" w:eastAsia="仿宋_GB2312" w:cs="仿宋_GB2312"/>
          <w:b/>
          <w:bCs/>
          <w:color w:val="auto"/>
          <w:w w:val="90"/>
          <w:sz w:val="28"/>
          <w:szCs w:val="28"/>
          <w:highlight w:val="none"/>
        </w:rPr>
        <w:t>甲乙</w:t>
      </w:r>
      <w:r>
        <w:rPr>
          <w:rFonts w:hint="eastAsia" w:ascii="仿宋_GB2312" w:hAnsi="仿宋_GB2312" w:eastAsia="仿宋_GB2312" w:cs="仿宋_GB2312"/>
          <w:b/>
          <w:bCs/>
          <w:color w:val="auto"/>
          <w:w w:val="90"/>
          <w:sz w:val="28"/>
          <w:szCs w:val="28"/>
          <w:highlight w:val="none"/>
          <w:lang w:val="en-US" w:eastAsia="zh-CN"/>
        </w:rPr>
        <w:t>双方法定代表人或授权人签章并加盖公章后生</w:t>
      </w:r>
      <w:r>
        <w:rPr>
          <w:rFonts w:hint="eastAsia" w:ascii="仿宋_GB2312" w:hAnsi="仿宋_GB2312" w:eastAsia="仿宋_GB2312" w:cs="仿宋_GB2312"/>
          <w:b/>
          <w:bCs/>
          <w:color w:val="auto"/>
          <w:w w:val="90"/>
          <w:sz w:val="28"/>
          <w:szCs w:val="28"/>
          <w:highlight w:val="none"/>
        </w:rPr>
        <w:t>效。有效期内甲、乙方均不得擅自解除或终止协议，否则应赔偿给对方造成的损失。定期存款到期后</w:t>
      </w:r>
      <w:r>
        <w:rPr>
          <w:rFonts w:hint="eastAsia" w:ascii="仿宋_GB2312" w:hAnsi="仿宋_GB2312" w:eastAsia="仿宋_GB2312" w:cs="仿宋_GB2312"/>
          <w:b/>
          <w:bCs/>
          <w:color w:val="auto"/>
          <w:w w:val="90"/>
          <w:sz w:val="28"/>
          <w:szCs w:val="28"/>
          <w:highlight w:val="none"/>
          <w:lang w:eastAsia="zh-CN"/>
        </w:rPr>
        <w:t>，如乙方无重大服务失误，</w:t>
      </w:r>
      <w:r>
        <w:rPr>
          <w:rFonts w:hint="eastAsia" w:ascii="仿宋_GB2312" w:hAnsi="仿宋_GB2312" w:eastAsia="仿宋_GB2312" w:cs="仿宋_GB2312"/>
          <w:b/>
          <w:bCs/>
          <w:color w:val="auto"/>
          <w:w w:val="90"/>
          <w:sz w:val="28"/>
          <w:szCs w:val="28"/>
          <w:highlight w:val="none"/>
        </w:rPr>
        <w:t>本协议自动</w:t>
      </w:r>
      <w:r>
        <w:rPr>
          <w:rFonts w:hint="eastAsia" w:ascii="仿宋_GB2312" w:hAnsi="仿宋_GB2312" w:eastAsia="仿宋_GB2312" w:cs="仿宋_GB2312"/>
          <w:b/>
          <w:bCs/>
          <w:color w:val="auto"/>
          <w:w w:val="90"/>
          <w:sz w:val="28"/>
          <w:szCs w:val="28"/>
          <w:highlight w:val="none"/>
          <w:lang w:eastAsia="zh-CN"/>
        </w:rPr>
        <w:t>顺延</w:t>
      </w:r>
      <w:r>
        <w:rPr>
          <w:rFonts w:hint="eastAsia" w:ascii="仿宋_GB2312" w:hAnsi="仿宋_GB2312" w:eastAsia="仿宋_GB2312" w:cs="仿宋_GB2312"/>
          <w:b/>
          <w:bCs/>
          <w:color w:val="auto"/>
          <w:w w:val="9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6.</w:t>
      </w:r>
      <w:r>
        <w:rPr>
          <w:rFonts w:hint="eastAsia" w:ascii="仿宋_GB2312" w:hAnsi="仿宋_GB2312" w:eastAsia="仿宋_GB2312" w:cs="仿宋_GB2312"/>
          <w:b/>
          <w:bCs/>
          <w:color w:val="auto"/>
          <w:w w:val="90"/>
          <w:sz w:val="28"/>
          <w:szCs w:val="28"/>
          <w:highlight w:val="none"/>
        </w:rPr>
        <w:t>甲、乙双方在协议履行过程中存在异议，双方应友好协商解决</w:t>
      </w:r>
      <w:r>
        <w:rPr>
          <w:rFonts w:hint="eastAsia" w:ascii="仿宋_GB2312" w:hAnsi="仿宋_GB2312" w:eastAsia="仿宋_GB2312" w:cs="仿宋_GB2312"/>
          <w:b/>
          <w:bCs/>
          <w:color w:val="auto"/>
          <w:w w:val="90"/>
          <w:sz w:val="28"/>
          <w:szCs w:val="28"/>
          <w:highlight w:val="none"/>
          <w:lang w:eastAsia="zh-CN"/>
        </w:rPr>
        <w:t>，协商解决不成的交由甲方所在地人民法院解决</w:t>
      </w:r>
      <w:r>
        <w:rPr>
          <w:rFonts w:hint="eastAsia" w:ascii="仿宋_GB2312" w:hAnsi="仿宋_GB2312" w:eastAsia="仿宋_GB2312" w:cs="仿宋_GB2312"/>
          <w:b/>
          <w:bCs/>
          <w:color w:val="auto"/>
          <w:w w:val="90"/>
          <w:sz w:val="28"/>
          <w:szCs w:val="28"/>
          <w:highlight w:val="none"/>
        </w:rPr>
        <w:t>。</w:t>
      </w:r>
      <w:bookmarkStart w:id="258" w:name="_GoBack"/>
      <w:bookmarkEnd w:id="258"/>
    </w:p>
    <w:p>
      <w:pPr>
        <w:keepNext w:val="0"/>
        <w:keepLines w:val="0"/>
        <w:pageBreakBefore w:val="0"/>
        <w:widowControl w:val="0"/>
        <w:kinsoku/>
        <w:wordWrap/>
        <w:overflowPunct/>
        <w:topLinePunct w:val="0"/>
        <w:autoSpaceDE/>
        <w:autoSpaceDN/>
        <w:bidi w:val="0"/>
        <w:adjustRightInd/>
        <w:snapToGrid/>
        <w:spacing w:line="500" w:lineRule="exact"/>
        <w:ind w:firstLine="506" w:firstLineChars="200"/>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lang w:val="en-US" w:eastAsia="zh-CN"/>
        </w:rPr>
        <w:t>7.</w:t>
      </w:r>
      <w:r>
        <w:rPr>
          <w:rFonts w:hint="eastAsia" w:ascii="仿宋_GB2312" w:hAnsi="仿宋_GB2312" w:eastAsia="仿宋_GB2312" w:cs="仿宋_GB2312"/>
          <w:b/>
          <w:bCs/>
          <w:color w:val="auto"/>
          <w:w w:val="90"/>
          <w:sz w:val="28"/>
          <w:szCs w:val="28"/>
          <w:highlight w:val="none"/>
        </w:rPr>
        <w:t>本协议一式四份，甲乙双方各执二份，具有同等法律效力。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 xml:space="preserve">甲方（公章） </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甲方（公章）</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w w:val="90"/>
          <w:sz w:val="28"/>
          <w:szCs w:val="28"/>
          <w:highlight w:val="none"/>
        </w:rPr>
      </w:pPr>
      <w:r>
        <w:rPr>
          <w:rFonts w:hint="eastAsia" w:ascii="仿宋_GB2312" w:hAnsi="仿宋_GB2312" w:eastAsia="仿宋_GB2312" w:cs="仿宋_GB2312"/>
          <w:b/>
          <w:bCs/>
          <w:color w:val="auto"/>
          <w:w w:val="90"/>
          <w:sz w:val="28"/>
          <w:szCs w:val="28"/>
          <w:highlight w:val="none"/>
        </w:rPr>
        <w:t>法定代表人：</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法定代表人：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宋体"/>
          <w:b/>
          <w:bCs/>
          <w:color w:val="auto"/>
          <w:sz w:val="48"/>
          <w:szCs w:val="48"/>
          <w:highlight w:val="none"/>
          <w:lang w:val="en-US" w:eastAsia="zh-CN"/>
        </w:rPr>
      </w:pPr>
      <w:r>
        <w:rPr>
          <w:rFonts w:hint="eastAsia" w:ascii="仿宋_GB2312" w:hAnsi="仿宋_GB2312" w:eastAsia="仿宋_GB2312" w:cs="仿宋_GB2312"/>
          <w:b/>
          <w:bCs/>
          <w:color w:val="auto"/>
          <w:w w:val="90"/>
          <w:sz w:val="28"/>
          <w:szCs w:val="28"/>
          <w:highlight w:val="none"/>
        </w:rPr>
        <w:t>或授权代理人：</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rPr>
        <w:t>或授权代理人：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val="en-US" w:eastAsia="zh-CN"/>
        </w:rPr>
      </w:pPr>
      <w:r>
        <w:rPr>
          <w:rFonts w:hint="eastAsia" w:ascii="仿宋_GB2312" w:hAnsi="仿宋_GB2312" w:eastAsia="仿宋_GB2312" w:cs="仿宋_GB2312"/>
          <w:b/>
          <w:bCs/>
          <w:color w:val="auto"/>
          <w:w w:val="9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auto"/>
          <w:w w:val="90"/>
          <w:sz w:val="28"/>
          <w:szCs w:val="28"/>
          <w:highlight w:val="none"/>
          <w:lang w:eastAsia="zh-CN"/>
        </w:rPr>
      </w:pP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年</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月</w:t>
      </w:r>
      <w:r>
        <w:rPr>
          <w:rFonts w:hint="eastAsia" w:ascii="仿宋_GB2312" w:hAnsi="仿宋_GB2312" w:eastAsia="仿宋_GB2312" w:cs="仿宋_GB2312"/>
          <w:b/>
          <w:bCs/>
          <w:color w:val="auto"/>
          <w:w w:val="90"/>
          <w:sz w:val="28"/>
          <w:szCs w:val="28"/>
          <w:highlight w:val="none"/>
          <w:lang w:val="en-US" w:eastAsia="zh-CN"/>
        </w:rPr>
        <w:t xml:space="preserve">   </w:t>
      </w:r>
      <w:r>
        <w:rPr>
          <w:rFonts w:hint="eastAsia" w:ascii="仿宋_GB2312" w:hAnsi="仿宋_GB2312" w:eastAsia="仿宋_GB2312" w:cs="仿宋_GB2312"/>
          <w:b/>
          <w:bCs/>
          <w:color w:val="auto"/>
          <w:w w:val="90"/>
          <w:sz w:val="28"/>
          <w:szCs w:val="28"/>
          <w:highlight w:val="none"/>
          <w:lang w:eastAsia="zh-CN"/>
        </w:rPr>
        <w:t>日</w:t>
      </w:r>
    </w:p>
    <w:p>
      <w:pPr>
        <w:rPr>
          <w:rFonts w:hint="eastAsia" w:ascii="仿宋_GB2312" w:hAnsi="宋体" w:eastAsia="仿宋_GB2312" w:cs="宋体"/>
          <w:b/>
          <w:bCs/>
          <w:color w:val="00B050"/>
          <w:sz w:val="48"/>
          <w:szCs w:val="48"/>
        </w:rPr>
      </w:pPr>
      <w:r>
        <w:rPr>
          <w:rFonts w:hint="eastAsia" w:ascii="仿宋_GB2312" w:hAnsi="宋体" w:eastAsia="仿宋_GB2312" w:cs="宋体"/>
          <w:b/>
          <w:bCs/>
          <w:color w:val="00B050"/>
          <w:sz w:val="48"/>
          <w:szCs w:val="48"/>
        </w:rPr>
        <w:br w:type="page"/>
      </w:r>
    </w:p>
    <w:p>
      <w:pPr>
        <w:pStyle w:val="5"/>
        <w:ind w:firstLine="0"/>
        <w:jc w:val="center"/>
        <w:outlineLvl w:val="0"/>
        <w:rPr>
          <w:rFonts w:ascii="仿宋_GB2312" w:hAnsi="宋体" w:eastAsia="仿宋_GB2312" w:cs="宋体"/>
          <w:b/>
          <w:sz w:val="48"/>
          <w:szCs w:val="48"/>
        </w:rPr>
      </w:pPr>
      <w:r>
        <w:rPr>
          <w:rFonts w:hint="eastAsia" w:ascii="仿宋_GB2312" w:hAnsi="宋体" w:eastAsia="仿宋_GB2312" w:cs="宋体"/>
          <w:b/>
          <w:sz w:val="48"/>
          <w:szCs w:val="48"/>
        </w:rPr>
        <w:t>第五</w:t>
      </w:r>
      <w:r>
        <w:rPr>
          <w:rFonts w:hint="eastAsia" w:ascii="仿宋_GB2312" w:hAnsi="宋体" w:eastAsia="仿宋_GB2312" w:cs="宋体"/>
          <w:b/>
          <w:w w:val="90"/>
          <w:sz w:val="48"/>
          <w:szCs w:val="48"/>
        </w:rPr>
        <w:t>部分</w:t>
      </w:r>
      <w:r>
        <w:rPr>
          <w:rFonts w:hint="eastAsia" w:ascii="仿宋_GB2312" w:hAnsi="宋体" w:eastAsia="仿宋_GB2312" w:cs="宋体"/>
          <w:b/>
          <w:sz w:val="48"/>
          <w:szCs w:val="48"/>
        </w:rPr>
        <w:t xml:space="preserve"> 投标文件格式</w:t>
      </w:r>
      <w:bookmarkEnd w:id="168"/>
      <w:bookmarkEnd w:id="169"/>
      <w:bookmarkEnd w:id="170"/>
      <w:bookmarkEnd w:id="171"/>
      <w:bookmarkEnd w:id="172"/>
    </w:p>
    <w:p>
      <w:pPr>
        <w:spacing w:line="500" w:lineRule="exact"/>
        <w:jc w:val="center"/>
        <w:rPr>
          <w:rFonts w:ascii="仿宋_GB2312" w:hAnsi="宋体" w:eastAsia="仿宋_GB2312" w:cs="宋体"/>
          <w:sz w:val="24"/>
          <w:szCs w:val="24"/>
        </w:rPr>
      </w:pPr>
    </w:p>
    <w:p>
      <w:pPr>
        <w:pStyle w:val="3"/>
        <w:spacing w:line="400" w:lineRule="exact"/>
        <w:ind w:firstLine="1200" w:firstLineChars="500"/>
        <w:jc w:val="both"/>
        <w:rPr>
          <w:rFonts w:ascii="仿宋_GB2312" w:hAnsi="宋体" w:eastAsia="仿宋_GB2312" w:cs="宋体"/>
          <w:sz w:val="24"/>
          <w:szCs w:val="24"/>
        </w:rPr>
      </w:pPr>
    </w:p>
    <w:tbl>
      <w:tblPr>
        <w:tblStyle w:val="27"/>
        <w:tblW w:w="8207"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207" w:type="dxa"/>
          </w:tcPr>
          <w:p>
            <w:pPr>
              <w:spacing w:before="120" w:line="400" w:lineRule="exact"/>
              <w:rPr>
                <w:rFonts w:ascii="仿宋_GB2312" w:hAnsi="宋体" w:eastAsia="仿宋_GB2312" w:cs="宋体"/>
                <w:sz w:val="24"/>
                <w:szCs w:val="24"/>
              </w:rPr>
            </w:pPr>
            <w:r>
              <w:rPr>
                <w:rFonts w:hint="eastAsia" w:ascii="仿宋_GB2312" w:hAnsi="宋体" w:eastAsia="仿宋_GB2312" w:cs="宋体"/>
                <w:sz w:val="24"/>
                <w:szCs w:val="24"/>
              </w:rPr>
              <w:t>注释： 《投标文件格式》是投标人的部分投标文件格式和签订合同时所需文件的格式。投标人应参照这些格式文件制作投标文件。</w:t>
            </w:r>
          </w:p>
          <w:p>
            <w:pPr>
              <w:spacing w:before="120" w:line="400" w:lineRule="exact"/>
              <w:rPr>
                <w:rFonts w:ascii="仿宋_GB2312" w:hAnsi="宋体" w:eastAsia="仿宋_GB2312" w:cs="宋体"/>
                <w:sz w:val="24"/>
                <w:szCs w:val="24"/>
              </w:rPr>
            </w:pPr>
          </w:p>
        </w:tc>
      </w:tr>
    </w:tbl>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tabs>
          <w:tab w:val="left" w:pos="4725"/>
        </w:tabs>
        <w:spacing w:line="500" w:lineRule="exact"/>
        <w:jc w:val="left"/>
        <w:rPr>
          <w:rFonts w:ascii="仿宋_GB2312" w:hAnsi="宋体" w:eastAsia="仿宋_GB2312" w:cs="宋体"/>
          <w:sz w:val="24"/>
          <w:szCs w:val="24"/>
        </w:rPr>
      </w:pPr>
      <w:r>
        <w:rPr>
          <w:rFonts w:hint="eastAsia" w:ascii="仿宋_GB2312" w:hAnsi="宋体" w:eastAsia="仿宋_GB2312" w:cs="宋体"/>
          <w:sz w:val="24"/>
          <w:szCs w:val="24"/>
        </w:rPr>
        <w:tab/>
      </w: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outlineLvl w:val="1"/>
        <w:rPr>
          <w:rFonts w:ascii="仿宋_GB2312" w:hAnsi="宋体" w:eastAsia="仿宋_GB2312" w:cs="宋体"/>
          <w:sz w:val="24"/>
          <w:szCs w:val="24"/>
        </w:rPr>
      </w:pPr>
      <w:bookmarkStart w:id="173" w:name="_Toc277925732"/>
      <w:bookmarkStart w:id="174" w:name="_Toc279482441"/>
    </w:p>
    <w:bookmarkEnd w:id="173"/>
    <w:bookmarkEnd w:id="174"/>
    <w:p>
      <w:pPr>
        <w:rPr>
          <w:rFonts w:ascii="仿宋_GB2312" w:hAnsi="宋体" w:eastAsia="仿宋_GB2312" w:cs="宋体"/>
          <w:sz w:val="30"/>
          <w:szCs w:val="30"/>
        </w:rPr>
      </w:pPr>
      <w:r>
        <w:rPr>
          <w:rFonts w:hint="eastAsia" w:ascii="仿宋_GB2312" w:hAnsi="宋体" w:eastAsia="仿宋_GB2312" w:cs="宋体"/>
          <w:sz w:val="30"/>
          <w:szCs w:val="30"/>
        </w:rPr>
        <w:t>封面格式：</w:t>
      </w:r>
    </w:p>
    <w:p>
      <w:pPr>
        <w:rPr>
          <w:rFonts w:ascii="仿宋_GB2312" w:hAnsi="宋体" w:eastAsia="仿宋_GB2312" w:cs="宋体"/>
          <w:sz w:val="30"/>
          <w:szCs w:val="30"/>
        </w:rPr>
      </w:pPr>
    </w:p>
    <w:p>
      <w:pPr>
        <w:rPr>
          <w:rFonts w:ascii="仿宋_GB2312" w:hAnsi="宋体" w:eastAsia="仿宋_GB2312" w:cs="宋体"/>
          <w:sz w:val="30"/>
          <w:szCs w:val="30"/>
        </w:rPr>
      </w:pPr>
    </w:p>
    <w:p>
      <w:pPr>
        <w:jc w:val="center"/>
        <w:rPr>
          <w:rFonts w:ascii="仿宋_GB2312" w:hAnsi="宋体" w:eastAsia="仿宋_GB2312" w:cs="宋体"/>
          <w:bCs/>
          <w:sz w:val="24"/>
          <w:szCs w:val="24"/>
        </w:rPr>
      </w:pPr>
    </w:p>
    <w:p>
      <w:pPr>
        <w:spacing w:line="1100" w:lineRule="exact"/>
        <w:jc w:val="center"/>
        <w:outlineLvl w:val="1"/>
        <w:rPr>
          <w:rFonts w:ascii="仿宋_GB2312" w:hAnsi="宋体" w:eastAsia="仿宋_GB2312" w:cs="宋体"/>
          <w:b/>
          <w:sz w:val="72"/>
          <w:szCs w:val="72"/>
        </w:rPr>
      </w:pPr>
      <w:bookmarkStart w:id="175" w:name="_Toc279482442"/>
      <w:bookmarkStart w:id="176" w:name="_Toc277925733"/>
      <w:bookmarkStart w:id="177" w:name="_Toc377051057"/>
      <w:bookmarkStart w:id="178" w:name="_Toc421861354"/>
      <w:bookmarkStart w:id="179" w:name="_Toc421861167"/>
      <w:r>
        <w:rPr>
          <w:rFonts w:hint="eastAsia" w:ascii="仿宋_GB2312" w:hAnsi="宋体" w:eastAsia="仿宋_GB2312" w:cs="宋体"/>
          <w:b/>
          <w:sz w:val="72"/>
          <w:szCs w:val="72"/>
        </w:rPr>
        <w:t>投 标 文 件</w:t>
      </w:r>
      <w:bookmarkEnd w:id="175"/>
      <w:bookmarkEnd w:id="176"/>
      <w:bookmarkEnd w:id="177"/>
      <w:bookmarkEnd w:id="178"/>
      <w:bookmarkEnd w:id="179"/>
    </w:p>
    <w:p>
      <w:pPr>
        <w:spacing w:beforeLines="100" w:line="1100" w:lineRule="exact"/>
        <w:jc w:val="center"/>
        <w:outlineLvl w:val="1"/>
        <w:rPr>
          <w:rFonts w:ascii="仿宋_GB2312" w:hAnsi="宋体" w:eastAsia="仿宋_GB2312" w:cs="宋体"/>
          <w:b/>
          <w:sz w:val="48"/>
          <w:szCs w:val="48"/>
        </w:rPr>
      </w:pPr>
      <w:bookmarkStart w:id="180" w:name="_Toc421861168"/>
      <w:bookmarkStart w:id="181" w:name="_Toc277925734"/>
      <w:bookmarkStart w:id="182" w:name="_Toc421861355"/>
      <w:bookmarkStart w:id="183" w:name="_Toc377051058"/>
      <w:bookmarkStart w:id="184" w:name="_Toc279482443"/>
      <w:r>
        <w:rPr>
          <w:rFonts w:hint="eastAsia" w:ascii="仿宋_GB2312" w:hAnsi="宋体" w:eastAsia="仿宋_GB2312" w:cs="宋体"/>
          <w:b/>
          <w:sz w:val="48"/>
          <w:szCs w:val="48"/>
        </w:rPr>
        <w:t>（技术商务部分）</w:t>
      </w:r>
      <w:bookmarkEnd w:id="180"/>
      <w:bookmarkEnd w:id="181"/>
      <w:bookmarkEnd w:id="182"/>
      <w:bookmarkEnd w:id="183"/>
      <w:bookmarkEnd w:id="184"/>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ind w:firstLine="982" w:firstLineChars="307"/>
        <w:rPr>
          <w:rFonts w:ascii="仿宋_GB2312" w:hAnsi="宋体" w:eastAsia="仿宋_GB2312" w:cs="宋体"/>
          <w:sz w:val="32"/>
          <w:szCs w:val="32"/>
        </w:rPr>
      </w:pPr>
      <w:r>
        <w:rPr>
          <w:rFonts w:hint="eastAsia" w:ascii="仿宋_GB2312" w:hAnsi="宋体" w:eastAsia="仿宋_GB2312" w:cs="宋体"/>
          <w:sz w:val="32"/>
          <w:szCs w:val="32"/>
        </w:rPr>
        <w:t>招标编号：</w:t>
      </w:r>
    </w:p>
    <w:p>
      <w:pPr>
        <w:spacing w:line="500" w:lineRule="exact"/>
        <w:ind w:firstLine="982" w:firstLineChars="307"/>
        <w:rPr>
          <w:rFonts w:ascii="仿宋_GB2312" w:hAnsi="宋体" w:eastAsia="仿宋_GB2312" w:cs="宋体"/>
          <w:sz w:val="32"/>
          <w:szCs w:val="32"/>
          <w:u w:val="single"/>
        </w:rPr>
      </w:pPr>
      <w:r>
        <w:rPr>
          <w:rFonts w:hint="eastAsia" w:ascii="仿宋_GB2312" w:hAnsi="宋体" w:eastAsia="仿宋_GB2312" w:cs="宋体"/>
          <w:sz w:val="32"/>
          <w:szCs w:val="32"/>
        </w:rPr>
        <w:t>招标项目：</w:t>
      </w:r>
    </w:p>
    <w:p>
      <w:pPr>
        <w:spacing w:line="500" w:lineRule="exact"/>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jc w:val="center"/>
        <w:rPr>
          <w:rFonts w:ascii="仿宋_GB2312" w:hAnsi="宋体" w:eastAsia="仿宋_GB2312" w:cs="宋体"/>
          <w:sz w:val="32"/>
          <w:szCs w:val="32"/>
        </w:rPr>
      </w:pPr>
    </w:p>
    <w:p>
      <w:pPr>
        <w:spacing w:line="500" w:lineRule="exact"/>
        <w:ind w:firstLine="1120" w:firstLineChars="350"/>
        <w:rPr>
          <w:rFonts w:ascii="仿宋_GB2312" w:hAnsi="宋体" w:eastAsia="仿宋_GB2312" w:cs="宋体"/>
          <w:sz w:val="32"/>
          <w:szCs w:val="32"/>
          <w:u w:val="single"/>
        </w:rPr>
      </w:pPr>
      <w:r>
        <w:rPr>
          <w:rFonts w:hint="eastAsia" w:ascii="仿宋_GB2312" w:hAnsi="宋体" w:eastAsia="仿宋_GB2312" w:cs="宋体"/>
          <w:sz w:val="32"/>
          <w:szCs w:val="32"/>
        </w:rPr>
        <w:t>投标人名称：</w:t>
      </w:r>
    </w:p>
    <w:p>
      <w:pPr>
        <w:spacing w:line="500" w:lineRule="exact"/>
        <w:rPr>
          <w:rFonts w:ascii="仿宋_GB2312" w:hAnsi="宋体" w:eastAsia="仿宋_GB2312" w:cs="宋体"/>
          <w:sz w:val="32"/>
          <w:szCs w:val="32"/>
        </w:rPr>
      </w:pPr>
      <w:r>
        <w:rPr>
          <w:rFonts w:hint="eastAsia" w:ascii="仿宋_GB2312" w:hAnsi="宋体" w:eastAsia="仿宋_GB2312" w:cs="宋体"/>
          <w:sz w:val="32"/>
          <w:szCs w:val="32"/>
        </w:rPr>
        <w:t xml:space="preserve">       日     期 ：</w:t>
      </w:r>
    </w:p>
    <w:p>
      <w:pPr>
        <w:widowControl/>
        <w:jc w:val="left"/>
        <w:rPr>
          <w:rFonts w:ascii="仿宋_GB2312" w:hAnsi="宋体" w:eastAsia="仿宋_GB2312" w:cs="宋体"/>
          <w:b/>
          <w:bCs/>
          <w:sz w:val="24"/>
          <w:szCs w:val="24"/>
        </w:rPr>
      </w:pPr>
      <w:r>
        <w:rPr>
          <w:rFonts w:ascii="仿宋_GB2312" w:hAnsi="宋体" w:eastAsia="仿宋_GB2312" w:cs="宋体"/>
          <w:b/>
          <w:bCs/>
          <w:sz w:val="24"/>
          <w:szCs w:val="24"/>
        </w:rPr>
        <w:br w:type="page"/>
      </w:r>
    </w:p>
    <w:p>
      <w:pPr>
        <w:spacing w:line="500" w:lineRule="exact"/>
        <w:jc w:val="center"/>
        <w:outlineLvl w:val="1"/>
        <w:rPr>
          <w:rFonts w:ascii="仿宋_GB2312" w:hAnsi="宋体" w:eastAsia="仿宋_GB2312" w:cs="宋体"/>
          <w:sz w:val="24"/>
          <w:szCs w:val="24"/>
        </w:rPr>
      </w:pPr>
      <w:bookmarkStart w:id="185" w:name="_Toc421861169"/>
      <w:bookmarkStart w:id="186" w:name="_Toc279482444"/>
      <w:bookmarkStart w:id="187" w:name="_Toc277925735"/>
      <w:bookmarkStart w:id="188" w:name="_Toc377051059"/>
      <w:bookmarkStart w:id="189" w:name="_Toc421861356"/>
      <w:r>
        <w:rPr>
          <w:rFonts w:hint="eastAsia" w:ascii="仿宋_GB2312" w:hAnsi="宋体" w:eastAsia="仿宋_GB2312" w:cs="宋体"/>
          <w:b/>
          <w:bCs/>
          <w:sz w:val="32"/>
          <w:szCs w:val="32"/>
        </w:rPr>
        <w:t>检   索</w:t>
      </w:r>
      <w:bookmarkEnd w:id="185"/>
      <w:bookmarkEnd w:id="186"/>
      <w:bookmarkEnd w:id="187"/>
      <w:bookmarkEnd w:id="188"/>
      <w:bookmarkEnd w:id="189"/>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1、投 标 书</w:t>
      </w:r>
    </w:p>
    <w:p>
      <w:pPr>
        <w:spacing w:line="360" w:lineRule="exact"/>
        <w:rPr>
          <w:rFonts w:ascii="仿宋_GB2312" w:hAnsi="宋体" w:eastAsia="仿宋_GB2312" w:cs="宋体"/>
          <w:sz w:val="24"/>
          <w:u w:val="single"/>
        </w:rPr>
      </w:pPr>
      <w:r>
        <w:rPr>
          <w:rFonts w:hint="eastAsia" w:ascii="仿宋_GB2312" w:hAnsi="仿宋_GB2312" w:eastAsia="仿宋_GB2312" w:cs="仿宋_GB2312"/>
          <w:w w:val="90"/>
          <w:sz w:val="24"/>
          <w:szCs w:val="24"/>
        </w:rPr>
        <w:t>2、服务和商务偏离表</w:t>
      </w:r>
      <w:r>
        <w:rPr>
          <w:rFonts w:hint="eastAsia" w:ascii="仿宋_GB2312" w:hAnsi="仿宋_GB2312" w:eastAsia="仿宋_GB2312" w:cs="仿宋_GB2312"/>
          <w:w w:val="90"/>
          <w:sz w:val="24"/>
          <w:szCs w:val="24"/>
        </w:rPr>
        <w:cr/>
      </w:r>
      <w:r>
        <w:rPr>
          <w:rFonts w:hint="eastAsia" w:ascii="仿宋_GB2312" w:hAnsi="仿宋_GB2312" w:eastAsia="仿宋_GB2312" w:cs="仿宋_GB2312"/>
          <w:w w:val="90"/>
          <w:sz w:val="24"/>
          <w:szCs w:val="24"/>
        </w:rPr>
        <w:t>3、服务说明一览表</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4、投标一览表（详附件1投标一览表格式）</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5、投标人的资格证明文件</w:t>
      </w:r>
    </w:p>
    <w:p>
      <w:pPr>
        <w:spacing w:line="360" w:lineRule="exact"/>
        <w:rPr>
          <w:rFonts w:ascii="仿宋_GB2312" w:hAnsi="宋体" w:eastAsia="仿宋_GB2312" w:cs="宋体"/>
          <w:sz w:val="24"/>
        </w:rPr>
      </w:pPr>
      <w:r>
        <w:rPr>
          <w:rFonts w:hint="eastAsia" w:ascii="仿宋_GB2312" w:hAnsi="宋体" w:eastAsia="仿宋_GB2312" w:cs="宋体"/>
          <w:sz w:val="24"/>
        </w:rPr>
        <w:t>（1）关于资格的声明函</w:t>
      </w:r>
    </w:p>
    <w:p>
      <w:pPr>
        <w:spacing w:line="360" w:lineRule="exact"/>
        <w:rPr>
          <w:rFonts w:ascii="仿宋_GB2312" w:hAnsi="宋体" w:eastAsia="仿宋_GB2312" w:cs="宋体"/>
          <w:sz w:val="24"/>
        </w:rPr>
      </w:pPr>
      <w:r>
        <w:rPr>
          <w:rFonts w:hint="eastAsia" w:ascii="仿宋_GB2312" w:hAnsi="宋体" w:eastAsia="仿宋_GB2312" w:cs="宋体"/>
          <w:sz w:val="24"/>
        </w:rPr>
        <w:t>（2）投标人的资格声明</w:t>
      </w:r>
    </w:p>
    <w:p>
      <w:pPr>
        <w:spacing w:line="360" w:lineRule="exact"/>
        <w:rPr>
          <w:rFonts w:ascii="仿宋_GB2312" w:hAnsi="宋体" w:eastAsia="仿宋_GB2312" w:cs="宋体"/>
          <w:sz w:val="24"/>
        </w:rPr>
      </w:pPr>
      <w:r>
        <w:rPr>
          <w:rFonts w:hint="eastAsia" w:ascii="仿宋_GB2312" w:hAnsi="宋体" w:eastAsia="仿宋_GB2312" w:cs="宋体"/>
          <w:sz w:val="24"/>
        </w:rPr>
        <w:t>（3）法定代表人授权书原件</w:t>
      </w:r>
    </w:p>
    <w:p>
      <w:pPr>
        <w:spacing w:line="360" w:lineRule="exact"/>
        <w:rPr>
          <w:rFonts w:ascii="仿宋_GB2312" w:hAnsi="宋体" w:eastAsia="仿宋_GB2312" w:cs="宋体"/>
          <w:sz w:val="24"/>
        </w:rPr>
      </w:pPr>
      <w:r>
        <w:rPr>
          <w:rFonts w:hint="eastAsia" w:ascii="仿宋_GB2312" w:hAnsi="宋体" w:eastAsia="仿宋_GB2312" w:cs="宋体"/>
          <w:sz w:val="24"/>
        </w:rPr>
        <w:t>（4）投标人代表合格有效的身份证复印件</w:t>
      </w:r>
      <w:r>
        <w:rPr>
          <w:rFonts w:hint="eastAsia" w:ascii="仿宋_GB2312" w:hAnsi="宋体" w:eastAsia="仿宋_GB2312" w:cs="宋体"/>
          <w:b/>
          <w:sz w:val="24"/>
          <w:u w:val="single"/>
        </w:rPr>
        <w:t>（开标前递交文件时提供身份证原件核对，否则为无效投标）</w:t>
      </w:r>
    </w:p>
    <w:p>
      <w:pPr>
        <w:spacing w:line="360" w:lineRule="exact"/>
        <w:rPr>
          <w:rFonts w:ascii="仿宋_GB2312" w:hAnsi="宋体" w:eastAsia="仿宋_GB2312" w:cs="宋体"/>
          <w:sz w:val="24"/>
        </w:rPr>
      </w:pPr>
      <w:r>
        <w:rPr>
          <w:rFonts w:hint="eastAsia" w:ascii="仿宋_GB2312" w:hAnsi="宋体" w:eastAsia="仿宋_GB2312" w:cs="宋体"/>
          <w:sz w:val="24"/>
        </w:rPr>
        <w:t>（5）合格有效的税务登记证复印件（三证合一的不需要提供）；</w:t>
      </w:r>
    </w:p>
    <w:p>
      <w:pPr>
        <w:spacing w:line="360" w:lineRule="exact"/>
        <w:rPr>
          <w:rFonts w:ascii="仿宋_GB2312" w:hAnsi="宋体" w:eastAsia="仿宋_GB2312" w:cs="宋体"/>
          <w:color w:val="auto"/>
          <w:sz w:val="24"/>
        </w:rPr>
      </w:pPr>
      <w:r>
        <w:rPr>
          <w:rFonts w:hint="eastAsia" w:ascii="仿宋_GB2312" w:hAnsi="宋体" w:eastAsia="仿宋_GB2312" w:cs="宋体"/>
          <w:sz w:val="24"/>
        </w:rPr>
        <w:t>（6）投标人需提供住所地或业务发生地检察机关出具的且在有效期内（落款时间在截止开标时间前2个月内）没有行贿犯罪记录的行贿犯罪档案查询结果告知函的原件或复印件</w:t>
      </w:r>
      <w:r>
        <w:rPr>
          <w:rFonts w:hint="eastAsia" w:ascii="仿宋_GB2312" w:hAnsi="宋体" w:eastAsia="仿宋_GB2312" w:cs="宋体"/>
          <w:color w:val="auto"/>
          <w:sz w:val="24"/>
          <w:lang w:eastAsia="zh-CN"/>
        </w:rPr>
        <w:t>（原件核对）</w:t>
      </w:r>
      <w:r>
        <w:rPr>
          <w:rFonts w:hint="eastAsia" w:ascii="仿宋_GB2312" w:hAnsi="宋体" w:eastAsia="仿宋_GB2312" w:cs="宋体"/>
          <w:color w:val="auto"/>
          <w:sz w:val="24"/>
        </w:rPr>
        <w:t>。</w:t>
      </w:r>
      <w:r>
        <w:rPr>
          <w:rFonts w:hint="eastAsia" w:ascii="仿宋_GB2312" w:hAnsi="宋体" w:eastAsia="仿宋_GB2312" w:cs="宋体"/>
          <w:color w:val="auto"/>
          <w:sz w:val="24"/>
          <w:szCs w:val="22"/>
        </w:rPr>
        <w:t>（无法获取有效期内检察机关行贿犯罪档案查询结果告知函的，应在对近两个月无行贿犯罪记录进行声明，格式自拟）</w:t>
      </w:r>
    </w:p>
    <w:p>
      <w:pPr>
        <w:spacing w:line="360" w:lineRule="exact"/>
        <w:rPr>
          <w:rFonts w:ascii="仿宋_GB2312" w:hAnsi="宋体" w:eastAsia="仿宋_GB2312" w:cs="宋体"/>
          <w:sz w:val="24"/>
        </w:rPr>
      </w:pPr>
      <w:r>
        <w:rPr>
          <w:rFonts w:hint="eastAsia" w:ascii="仿宋_GB2312" w:hAnsi="宋体" w:eastAsia="仿宋_GB2312" w:cs="宋体"/>
          <w:sz w:val="24"/>
        </w:rPr>
        <w:t>（7）投标截止时间前半年内连续三个月投标人为投标人代表缴纳社会保险的证明材料</w:t>
      </w:r>
      <w:r>
        <w:rPr>
          <w:rFonts w:hint="eastAsia" w:ascii="仿宋_GB2312" w:hAnsi="宋体" w:eastAsia="仿宋_GB2312"/>
          <w:sz w:val="24"/>
          <w:szCs w:val="24"/>
        </w:rPr>
        <w:t>（税务部门或社保机构出具）</w:t>
      </w:r>
      <w:r>
        <w:rPr>
          <w:rFonts w:hint="eastAsia" w:ascii="仿宋_GB2312" w:hAnsi="宋体" w:eastAsia="仿宋_GB2312" w:cs="宋体"/>
          <w:sz w:val="24"/>
        </w:rPr>
        <w:t>。</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8</w:t>
      </w:r>
      <w:r>
        <w:rPr>
          <w:rFonts w:hint="eastAsia" w:ascii="仿宋_GB2312" w:hAnsi="宋体" w:eastAsia="仿宋_GB2312" w:cs="宋体"/>
          <w:sz w:val="24"/>
        </w:rPr>
        <w:t>）</w:t>
      </w:r>
      <w:r>
        <w:rPr>
          <w:rFonts w:hint="eastAsia" w:ascii="仿宋_GB2312" w:hAnsi="宋体" w:eastAsia="仿宋_GB2312" w:cs="宋体"/>
          <w:sz w:val="24"/>
          <w:szCs w:val="22"/>
          <w:lang w:eastAsia="zh-CN"/>
        </w:rPr>
        <w:t>在鲤城区或丰泽区设有分支机构的市级国有商业银行、股份制商业银行、城市商业银行、农村商业银行和邮政储蓄银行</w:t>
      </w:r>
      <w:r>
        <w:rPr>
          <w:rFonts w:hint="eastAsia" w:ascii="仿宋_GB2312" w:hAnsi="宋体" w:eastAsia="仿宋_GB2312" w:cs="宋体"/>
          <w:sz w:val="24"/>
          <w:szCs w:val="22"/>
        </w:rPr>
        <w:t>，并提供</w:t>
      </w:r>
      <w:r>
        <w:rPr>
          <w:rFonts w:hint="eastAsia" w:ascii="仿宋_GB2312" w:hAnsi="宋体" w:eastAsia="仿宋_GB2312" w:cs="宋体"/>
          <w:sz w:val="24"/>
        </w:rPr>
        <w:t>合格有效的营业执照复印件</w:t>
      </w:r>
      <w:r>
        <w:rPr>
          <w:rFonts w:hint="eastAsia" w:ascii="仿宋_GB2312" w:hAnsi="宋体" w:eastAsia="仿宋_GB2312" w:cs="宋体"/>
          <w:sz w:val="24"/>
          <w:szCs w:val="22"/>
        </w:rPr>
        <w:t>。</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9</w:t>
      </w:r>
      <w:r>
        <w:rPr>
          <w:rFonts w:hint="eastAsia" w:ascii="仿宋_GB2312" w:hAnsi="宋体" w:eastAsia="仿宋_GB2312" w:cs="宋体"/>
          <w:sz w:val="24"/>
        </w:rPr>
        <w:t>）</w:t>
      </w:r>
      <w:r>
        <w:rPr>
          <w:rFonts w:hint="eastAsia" w:ascii="仿宋_GB2312" w:hAnsi="宋体" w:eastAsia="仿宋_GB2312" w:cs="宋体"/>
          <w:sz w:val="24"/>
          <w:szCs w:val="22"/>
        </w:rPr>
        <w:t>依法开展经营活动，近3年内在经营活动中无重大违法违规记录，信誉良好，人民银行年度综合评价B级（含B级）以上。(提供证明材料复印件)</w:t>
      </w:r>
    </w:p>
    <w:p>
      <w:pPr>
        <w:spacing w:line="360" w:lineRule="exact"/>
        <w:rPr>
          <w:rFonts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10</w:t>
      </w:r>
      <w:r>
        <w:rPr>
          <w:rFonts w:hint="eastAsia" w:ascii="仿宋_GB2312" w:hAnsi="宋体" w:eastAsia="仿宋_GB2312" w:cs="宋体"/>
          <w:sz w:val="24"/>
        </w:rPr>
        <w:t>）</w:t>
      </w:r>
      <w:r>
        <w:rPr>
          <w:rFonts w:hint="eastAsia" w:ascii="仿宋_GB2312" w:hAnsi="宋体" w:eastAsia="仿宋_GB2312" w:cs="宋体"/>
          <w:sz w:val="24"/>
          <w:szCs w:val="22"/>
        </w:rPr>
        <w:t>财务稳健，资本充足率、不良贷款率、拨备覆盖率、流动性覆盖率、流动性比例等指标达到监管标准。(提供证明材料复印件)</w:t>
      </w:r>
    </w:p>
    <w:p>
      <w:pPr>
        <w:spacing w:line="360" w:lineRule="exact"/>
        <w:rPr>
          <w:rFonts w:hint="eastAsia" w:ascii="仿宋_GB2312" w:hAnsi="宋体" w:eastAsia="仿宋_GB2312" w:cs="宋体"/>
          <w:sz w:val="24"/>
          <w:szCs w:val="22"/>
        </w:rPr>
      </w:pPr>
      <w:r>
        <w:rPr>
          <w:rFonts w:hint="eastAsia" w:ascii="仿宋_GB2312" w:hAnsi="宋体" w:eastAsia="仿宋_GB2312" w:cs="宋体"/>
          <w:sz w:val="24"/>
        </w:rPr>
        <w:t>（</w:t>
      </w:r>
      <w:r>
        <w:rPr>
          <w:rFonts w:hint="eastAsia" w:ascii="仿宋_GB2312" w:hAnsi="宋体" w:eastAsia="仿宋_GB2312" w:cs="宋体"/>
          <w:sz w:val="24"/>
          <w:szCs w:val="22"/>
        </w:rPr>
        <w:t>11</w:t>
      </w:r>
      <w:r>
        <w:rPr>
          <w:rFonts w:hint="eastAsia" w:ascii="仿宋_GB2312" w:hAnsi="宋体" w:eastAsia="仿宋_GB2312" w:cs="宋体"/>
          <w:sz w:val="24"/>
        </w:rPr>
        <w:t>）</w:t>
      </w:r>
      <w:r>
        <w:rPr>
          <w:rFonts w:hint="eastAsia" w:ascii="仿宋_GB2312" w:hAnsi="宋体" w:eastAsia="仿宋_GB2312" w:cs="宋体"/>
          <w:sz w:val="24"/>
          <w:szCs w:val="22"/>
        </w:rPr>
        <w:t>内部管理机制健全，具有较强的风险控制能力，近3年内未发生金融风险及重大违约事件。(提供证明材料复印件)</w:t>
      </w:r>
    </w:p>
    <w:p>
      <w:pPr>
        <w:spacing w:line="360" w:lineRule="exact"/>
        <w:rPr>
          <w:rFonts w:ascii="仿宋_GB2312" w:hAnsi="宋体" w:eastAsia="仿宋_GB2312" w:cs="宋体"/>
          <w:sz w:val="24"/>
        </w:rPr>
      </w:pPr>
      <w:r>
        <w:rPr>
          <w:rFonts w:hint="eastAsia" w:ascii="仿宋_GB2312" w:hAnsi="宋体" w:eastAsia="仿宋_GB2312" w:cs="宋体"/>
          <w:sz w:val="24"/>
          <w:szCs w:val="22"/>
        </w:rPr>
        <w:t>（12）总行总资产规模（</w:t>
      </w:r>
      <w:r>
        <w:rPr>
          <w:rFonts w:hint="eastAsia" w:ascii="仿宋_GB2312" w:hAnsi="宋体" w:eastAsia="仿宋_GB2312" w:cs="宋体"/>
          <w:sz w:val="24"/>
          <w:szCs w:val="22"/>
          <w:lang w:val="en-US" w:eastAsia="zh-CN"/>
        </w:rPr>
        <w:t>2019年</w:t>
      </w:r>
      <w:r>
        <w:rPr>
          <w:rFonts w:hint="eastAsia" w:ascii="仿宋_GB2312" w:hAnsi="宋体" w:eastAsia="仿宋_GB2312" w:cs="宋体"/>
          <w:sz w:val="24"/>
          <w:szCs w:val="22"/>
        </w:rPr>
        <w:t>）小于10000亿元或在泉州总资产规模小于1000亿元的银行，必须以可流通国债为质押，质押的国债为定期存款金额的105%。（以承诺函形式进行声明，格式自拟）</w:t>
      </w:r>
    </w:p>
    <w:p>
      <w:pPr>
        <w:spacing w:line="3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6、服务与商务应答</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7、投标人提交的其它资料</w:t>
      </w:r>
    </w:p>
    <w:p>
      <w:pPr>
        <w:spacing w:line="46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①投标人对所投产品产地的声明</w:t>
      </w:r>
    </w:p>
    <w:p>
      <w:pPr>
        <w:spacing w:line="460" w:lineRule="exact"/>
        <w:ind w:firstLine="108" w:firstLineChars="5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②其它材料</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8、招标服务费承诺书</w:t>
      </w:r>
    </w:p>
    <w:p>
      <w:pPr>
        <w:spacing w:line="46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9、投标保证金交纳凭证</w:t>
      </w:r>
    </w:p>
    <w:p>
      <w:pPr>
        <w:tabs>
          <w:tab w:val="left" w:pos="5355"/>
        </w:tabs>
        <w:rPr>
          <w:rFonts w:ascii="仿宋_GB2312" w:hAnsi="宋体" w:eastAsia="仿宋_GB2312" w:cs="宋体"/>
          <w:b/>
          <w:sz w:val="24"/>
        </w:rPr>
      </w:pPr>
      <w:bookmarkStart w:id="190" w:name="_Toc279482445"/>
      <w:bookmarkStart w:id="191" w:name="_Toc225312834"/>
      <w:bookmarkStart w:id="192" w:name="_Toc277925736"/>
    </w:p>
    <w:p>
      <w:pPr>
        <w:tabs>
          <w:tab w:val="left" w:pos="5355"/>
        </w:tabs>
        <w:rPr>
          <w:rFonts w:ascii="仿宋_GB2312" w:hAnsi="宋体" w:eastAsia="仿宋_GB2312" w:cs="宋体"/>
          <w:b/>
          <w:sz w:val="24"/>
        </w:rPr>
      </w:pPr>
      <w:r>
        <w:rPr>
          <w:rFonts w:hint="eastAsia" w:ascii="仿宋_GB2312" w:hAnsi="宋体" w:eastAsia="仿宋_GB2312" w:cs="宋体"/>
          <w:b/>
          <w:sz w:val="24"/>
        </w:rPr>
        <w:t>注：单独编制装订，胶装成册并密封。</w:t>
      </w: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一、投 标 书</w:t>
      </w:r>
      <w:bookmarkEnd w:id="190"/>
      <w:bookmarkEnd w:id="191"/>
      <w:bookmarkEnd w:id="192"/>
    </w:p>
    <w:p>
      <w:pPr>
        <w:pStyle w:val="68"/>
        <w:spacing w:line="320" w:lineRule="exact"/>
        <w:outlineLvl w:val="1"/>
        <w:rPr>
          <w:rFonts w:ascii="仿宋_GB2312" w:hAnsi="仿宋_GB2312" w:eastAsia="仿宋_GB2312" w:cs="仿宋_GB2312"/>
          <w:b/>
          <w:w w:val="90"/>
          <w:sz w:val="24"/>
          <w:szCs w:val="24"/>
          <w:u w:val="single"/>
        </w:rPr>
      </w:pPr>
      <w:bookmarkStart w:id="193" w:name="_Toc421861357"/>
      <w:bookmarkStart w:id="194" w:name="_Toc377051060"/>
      <w:bookmarkStart w:id="195" w:name="_Toc421861170"/>
      <w:bookmarkStart w:id="196" w:name="_Toc277925737"/>
      <w:bookmarkStart w:id="197" w:name="_Toc279482446"/>
      <w:bookmarkStart w:id="198" w:name="_Toc225312837"/>
      <w:r>
        <w:rPr>
          <w:rFonts w:hint="eastAsia" w:ascii="仿宋_GB2312" w:hAnsi="仿宋_GB2312" w:eastAsia="仿宋_GB2312" w:cs="仿宋_GB2312"/>
          <w:b/>
          <w:w w:val="90"/>
          <w:sz w:val="24"/>
          <w:szCs w:val="24"/>
          <w:u w:val="single"/>
        </w:rPr>
        <w:t>致：</w:t>
      </w:r>
      <w:bookmarkEnd w:id="193"/>
      <w:bookmarkEnd w:id="194"/>
      <w:bookmarkEnd w:id="195"/>
      <w:r>
        <w:rPr>
          <w:rFonts w:hint="eastAsia" w:ascii="仿宋_GB2312" w:hAnsi="仿宋_GB2312" w:eastAsia="仿宋_GB2312" w:cs="仿宋_GB2312"/>
          <w:b/>
          <w:w w:val="90"/>
          <w:sz w:val="24"/>
          <w:szCs w:val="24"/>
          <w:u w:val="single"/>
        </w:rPr>
        <w:t>福建元丰招标有限公司</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根据贵方为项目的投标邀请: （招标编号），本签字代表（全名、职务）获得正式授权并代表投标人（投标人名称、地址）提交下述文件正本</w:t>
      </w:r>
      <w:r>
        <w:rPr>
          <w:rFonts w:hint="eastAsia" w:ascii="仿宋_GB2312" w:hAnsi="仿宋_GB2312" w:eastAsia="仿宋_GB2312" w:cs="仿宋_GB2312"/>
          <w:w w:val="90"/>
          <w:sz w:val="24"/>
          <w:szCs w:val="24"/>
          <w:u w:val="single"/>
        </w:rPr>
        <w:t>1</w:t>
      </w:r>
      <w:r>
        <w:rPr>
          <w:rFonts w:hint="eastAsia" w:ascii="仿宋_GB2312" w:hAnsi="仿宋_GB2312" w:eastAsia="仿宋_GB2312" w:cs="仿宋_GB2312"/>
          <w:w w:val="90"/>
          <w:sz w:val="24"/>
          <w:szCs w:val="24"/>
        </w:rPr>
        <w:t>份和副本</w:t>
      </w:r>
      <w:r>
        <w:rPr>
          <w:rFonts w:hint="eastAsia" w:ascii="仿宋_GB2312" w:hAnsi="仿宋_GB2312" w:eastAsia="仿宋_GB2312" w:cs="仿宋_GB2312"/>
          <w:w w:val="90"/>
          <w:sz w:val="24"/>
          <w:szCs w:val="24"/>
          <w:u w:val="single"/>
        </w:rPr>
        <w:t>5</w:t>
      </w:r>
      <w:r>
        <w:rPr>
          <w:rFonts w:hint="eastAsia" w:ascii="仿宋_GB2312" w:hAnsi="仿宋_GB2312" w:eastAsia="仿宋_GB2312" w:cs="仿宋_GB2312"/>
          <w:w w:val="90"/>
          <w:sz w:val="24"/>
          <w:szCs w:val="24"/>
        </w:rPr>
        <w:t>份。</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一、投标文件技术商务部分</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(1)技术规格和商务偏离表</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(2)服务说明一览表</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(3)投标一览表（详附件1投标一览表格式）</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(4)投标人资格证明文件</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(5)技术与商务应答</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(6)投标人提交的其它资料</w:t>
      </w:r>
    </w:p>
    <w:p>
      <w:pPr>
        <w:spacing w:line="320" w:lineRule="exact"/>
        <w:ind w:firstLine="216" w:firstLineChars="1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 xml:space="preserve">  (7)招标服务费承诺书</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(8)以方式提供的金额为人民币元的投标保证金。</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据此函，签字代表宣布同意如下：</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1.投标人已详细审查全部招标文件，包括修改文件（如有的话）和有关附件，将自行承担因对全部招标文件理解不正确或误解而产生的相应后果。</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2.投标人保证遵守招标文件的全部规定，投标人所提交的材料中所含的信息均为真实、准确、完整，且不具有任何误导性。投标人所提供的资质材料在投标文件中是不可拆卸的。如发现所提供材料不全，责任由本公司自负。</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3.投标人将按招标文件的规定履行合同责任和义务。</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4.本投标文件自开标日起投标有效期为：在招标文件投标人须知前附表第3项所规定的期限内保持有效。</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5.如果发生招标文件第三部分投标人须知第</w:t>
      </w:r>
      <w:r>
        <w:rPr>
          <w:rFonts w:hint="eastAsia" w:ascii="仿宋_GB2312" w:hAnsi="仿宋_GB2312" w:eastAsia="仿宋_GB2312" w:cs="仿宋_GB2312"/>
          <w:w w:val="90"/>
          <w:sz w:val="24"/>
          <w:szCs w:val="24"/>
          <w:u w:val="single"/>
        </w:rPr>
        <w:t>12</w:t>
      </w:r>
      <w:r>
        <w:rPr>
          <w:rFonts w:hint="eastAsia" w:ascii="仿宋_GB2312" w:hAnsi="仿宋_GB2312" w:eastAsia="仿宋_GB2312" w:cs="仿宋_GB2312"/>
          <w:w w:val="90"/>
          <w:sz w:val="24"/>
          <w:szCs w:val="24"/>
        </w:rPr>
        <w:t>条所述情况，则同意福建元丰招标有限公司福建元丰招标有限公司不予退还投标保证金。</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6.投标人同意提供按照招标人或招标代理机构可能要求的与其投标有关的一切数据或资料。</w:t>
      </w:r>
    </w:p>
    <w:p>
      <w:pPr>
        <w:spacing w:line="320" w:lineRule="exact"/>
        <w:ind w:firstLine="432" w:firstLineChars="200"/>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7.与本投标有关的一切正式往来通讯请寄：</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地 址：邮 编：</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电 话：传 真：</w:t>
      </w:r>
    </w:p>
    <w:p>
      <w:pPr>
        <w:spacing w:line="320" w:lineRule="exac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投标人代表（签字）：</w:t>
      </w:r>
    </w:p>
    <w:p>
      <w:pPr>
        <w:spacing w:line="320" w:lineRule="exact"/>
        <w:rPr>
          <w:rFonts w:ascii="仿宋_GB2312" w:hAnsi="仿宋_GB2312" w:eastAsia="仿宋_GB2312" w:cs="仿宋_GB2312"/>
          <w:w w:val="90"/>
          <w:sz w:val="24"/>
          <w:szCs w:val="24"/>
          <w:u w:val="single"/>
        </w:rPr>
      </w:pPr>
      <w:r>
        <w:rPr>
          <w:rFonts w:hint="eastAsia" w:ascii="仿宋_GB2312" w:hAnsi="仿宋_GB2312" w:eastAsia="仿宋_GB2312" w:cs="仿宋_GB2312"/>
          <w:w w:val="90"/>
          <w:sz w:val="24"/>
          <w:szCs w:val="24"/>
        </w:rPr>
        <w:t>投标人（盖公章）：</w:t>
      </w:r>
    </w:p>
    <w:p>
      <w:pPr>
        <w:spacing w:line="320" w:lineRule="exact"/>
        <w:rPr>
          <w:rFonts w:ascii="仿宋_GB2312" w:hAnsi="仿宋_GB2312" w:eastAsia="仿宋_GB2312" w:cs="仿宋_GB2312"/>
          <w:w w:val="90"/>
          <w:sz w:val="24"/>
          <w:szCs w:val="24"/>
        </w:rPr>
      </w:pPr>
      <w:r>
        <w:rPr>
          <w:rFonts w:hint="eastAsia" w:ascii="仿宋_GB2312" w:hAnsi="仿宋_GB2312" w:eastAsia="仿宋_GB2312" w:cs="仿宋_GB2312"/>
          <w:w w:val="90"/>
          <w:sz w:val="24"/>
          <w:szCs w:val="24"/>
        </w:rPr>
        <w:t>日  期：年月日</w:t>
      </w:r>
    </w:p>
    <w:p>
      <w:pPr>
        <w:widowControl/>
        <w:jc w:val="left"/>
        <w:rPr>
          <w:rFonts w:ascii="仿宋_GB2312" w:hAnsi="仿宋_GB2312" w:eastAsia="仿宋_GB2312" w:cs="仿宋_GB2312"/>
          <w:sz w:val="24"/>
          <w:szCs w:val="24"/>
        </w:rPr>
      </w:pPr>
      <w:r>
        <w:rPr>
          <w:rFonts w:ascii="仿宋_GB2312" w:hAnsi="仿宋_GB2312" w:eastAsia="仿宋_GB2312" w:cs="仿宋_GB2312"/>
          <w:sz w:val="24"/>
          <w:szCs w:val="24"/>
        </w:rPr>
        <w:br w:type="page"/>
      </w:r>
    </w:p>
    <w:p>
      <w:pPr>
        <w:tabs>
          <w:tab w:val="left" w:pos="5355"/>
        </w:tabs>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二、服务和商务偏离表</w:t>
      </w:r>
      <w:bookmarkEnd w:id="196"/>
      <w:bookmarkEnd w:id="197"/>
    </w:p>
    <w:p>
      <w:pPr>
        <w:tabs>
          <w:tab w:val="left" w:pos="5355"/>
        </w:tabs>
        <w:spacing w:line="500" w:lineRule="exact"/>
        <w:jc w:val="center"/>
        <w:rPr>
          <w:rFonts w:ascii="仿宋_GB2312" w:hAnsi="宋体" w:eastAsia="仿宋_GB2312" w:cs="宋体"/>
          <w:sz w:val="24"/>
          <w:szCs w:val="24"/>
        </w:rPr>
      </w:pPr>
    </w:p>
    <w:p>
      <w:pPr>
        <w:tabs>
          <w:tab w:val="left" w:pos="5355"/>
        </w:tabs>
        <w:adjustRightInd w:val="0"/>
        <w:snapToGrid w:val="0"/>
        <w:spacing w:line="400" w:lineRule="exact"/>
        <w:rPr>
          <w:rFonts w:ascii="仿宋_GB2312" w:hAnsi="宋体" w:eastAsia="仿宋_GB2312" w:cs="宋体"/>
          <w:sz w:val="24"/>
          <w:szCs w:val="24"/>
        </w:rPr>
      </w:pPr>
      <w:bookmarkStart w:id="199" w:name="_Toc279482447"/>
      <w:bookmarkStart w:id="200" w:name="_Toc277925738"/>
      <w:r>
        <w:rPr>
          <w:rFonts w:hint="eastAsia" w:ascii="仿宋_GB2312" w:hAnsi="宋体" w:eastAsia="仿宋_GB2312" w:cs="宋体"/>
          <w:sz w:val="24"/>
          <w:szCs w:val="24"/>
        </w:rPr>
        <w:t>招标编号：</w:t>
      </w:r>
    </w:p>
    <w:p>
      <w:pPr>
        <w:tabs>
          <w:tab w:val="left" w:pos="5355"/>
        </w:tabs>
        <w:adjustRightInd w:val="0"/>
        <w:snapToGrid w:val="0"/>
        <w:spacing w:afterLines="50" w:line="400" w:lineRule="exact"/>
        <w:rPr>
          <w:rFonts w:ascii="仿宋_GB2312" w:hAnsi="宋体" w:eastAsia="仿宋_GB2312" w:cs="宋体"/>
          <w:sz w:val="24"/>
          <w:szCs w:val="24"/>
        </w:rPr>
      </w:pPr>
      <w:r>
        <w:rPr>
          <w:rFonts w:hint="eastAsia" w:ascii="仿宋_GB2312" w:hAnsi="宋体" w:eastAsia="仿宋_GB2312" w:cs="宋体"/>
          <w:sz w:val="24"/>
          <w:szCs w:val="24"/>
        </w:rPr>
        <w:t>投标人名称：（全称并加盖公章）</w:t>
      </w:r>
    </w:p>
    <w:p>
      <w:pPr>
        <w:tabs>
          <w:tab w:val="left" w:pos="5355"/>
        </w:tabs>
        <w:adjustRightInd w:val="0"/>
        <w:snapToGrid w:val="0"/>
        <w:spacing w:afterLines="50" w:line="400" w:lineRule="exact"/>
        <w:jc w:val="center"/>
        <w:rPr>
          <w:rFonts w:ascii="仿宋_GB2312" w:hAnsi="宋体" w:eastAsia="仿宋_GB2312" w:cs="宋体"/>
          <w:sz w:val="24"/>
          <w:szCs w:val="24"/>
        </w:rPr>
      </w:pPr>
      <w:r>
        <w:rPr>
          <w:rFonts w:hint="eastAsia" w:ascii="宋体" w:hAnsi="宋体"/>
          <w:b/>
          <w:szCs w:val="21"/>
        </w:rPr>
        <w:t>技术要求偏离表</w:t>
      </w:r>
    </w:p>
    <w:tbl>
      <w:tblPr>
        <w:tblStyle w:val="2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644"/>
        <w:gridCol w:w="792"/>
        <w:gridCol w:w="476"/>
        <w:gridCol w:w="2864"/>
        <w:gridCol w:w="3278"/>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合同包号</w:t>
            </w:r>
          </w:p>
        </w:tc>
        <w:tc>
          <w:tcPr>
            <w:tcW w:w="644"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品目号</w:t>
            </w:r>
          </w:p>
        </w:tc>
        <w:tc>
          <w:tcPr>
            <w:tcW w:w="792"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服务名称</w:t>
            </w:r>
          </w:p>
        </w:tc>
        <w:tc>
          <w:tcPr>
            <w:tcW w:w="47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数量</w:t>
            </w:r>
          </w:p>
        </w:tc>
        <w:tc>
          <w:tcPr>
            <w:tcW w:w="2864"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招标文件要求</w:t>
            </w:r>
          </w:p>
        </w:tc>
        <w:tc>
          <w:tcPr>
            <w:tcW w:w="3278"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投标实际响应</w:t>
            </w:r>
          </w:p>
        </w:tc>
        <w:tc>
          <w:tcPr>
            <w:tcW w:w="796" w:type="dxa"/>
            <w:vAlign w:val="center"/>
          </w:tcPr>
          <w:p>
            <w:pPr>
              <w:tabs>
                <w:tab w:val="left" w:pos="5355"/>
              </w:tabs>
              <w:spacing w:line="400" w:lineRule="exact"/>
              <w:jc w:val="center"/>
              <w:rPr>
                <w:rFonts w:ascii="仿宋_GB2312" w:hAnsi="宋体" w:eastAsia="仿宋_GB2312" w:cs="宋体"/>
                <w:sz w:val="24"/>
                <w:szCs w:val="24"/>
              </w:rPr>
            </w:pPr>
            <w:r>
              <w:rPr>
                <w:rFonts w:hint="eastAsia" w:ascii="仿宋_GB2312" w:hAnsi="宋体" w:eastAsia="仿宋_GB2312"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6" w:type="dxa"/>
            <w:vAlign w:val="center"/>
          </w:tcPr>
          <w:p>
            <w:pPr>
              <w:tabs>
                <w:tab w:val="left" w:pos="5355"/>
              </w:tabs>
              <w:spacing w:line="400" w:lineRule="exact"/>
              <w:jc w:val="center"/>
              <w:rPr>
                <w:rFonts w:ascii="仿宋_GB2312" w:hAnsi="宋体" w:eastAsia="仿宋_GB2312" w:cs="宋体"/>
                <w:sz w:val="24"/>
                <w:szCs w:val="24"/>
              </w:rPr>
            </w:pPr>
          </w:p>
        </w:tc>
        <w:tc>
          <w:tcPr>
            <w:tcW w:w="644" w:type="dxa"/>
            <w:vAlign w:val="center"/>
          </w:tcPr>
          <w:p>
            <w:pPr>
              <w:tabs>
                <w:tab w:val="left" w:pos="5355"/>
              </w:tabs>
              <w:spacing w:line="400" w:lineRule="exact"/>
              <w:jc w:val="center"/>
              <w:rPr>
                <w:rFonts w:ascii="仿宋_GB2312" w:hAnsi="宋体" w:eastAsia="仿宋_GB2312" w:cs="宋体"/>
                <w:sz w:val="24"/>
                <w:szCs w:val="24"/>
              </w:rPr>
            </w:pPr>
          </w:p>
        </w:tc>
        <w:tc>
          <w:tcPr>
            <w:tcW w:w="792" w:type="dxa"/>
            <w:vAlign w:val="center"/>
          </w:tcPr>
          <w:p>
            <w:pPr>
              <w:tabs>
                <w:tab w:val="left" w:pos="5355"/>
              </w:tabs>
              <w:spacing w:line="400" w:lineRule="exact"/>
              <w:jc w:val="center"/>
              <w:rPr>
                <w:rFonts w:ascii="仿宋_GB2312" w:hAnsi="宋体" w:eastAsia="仿宋_GB2312" w:cs="宋体"/>
                <w:sz w:val="24"/>
                <w:szCs w:val="24"/>
              </w:rPr>
            </w:pPr>
          </w:p>
        </w:tc>
        <w:tc>
          <w:tcPr>
            <w:tcW w:w="476" w:type="dxa"/>
          </w:tcPr>
          <w:p>
            <w:pPr>
              <w:tabs>
                <w:tab w:val="left" w:pos="5355"/>
              </w:tabs>
              <w:spacing w:line="400" w:lineRule="exact"/>
              <w:rPr>
                <w:rFonts w:ascii="仿宋_GB2312" w:hAnsi="宋体" w:eastAsia="仿宋_GB2312" w:cs="宋体"/>
                <w:sz w:val="24"/>
                <w:szCs w:val="24"/>
              </w:rPr>
            </w:pPr>
          </w:p>
        </w:tc>
        <w:tc>
          <w:tcPr>
            <w:tcW w:w="2864" w:type="dxa"/>
          </w:tcPr>
          <w:p>
            <w:pPr>
              <w:tabs>
                <w:tab w:val="left" w:pos="5355"/>
              </w:tabs>
              <w:spacing w:line="400" w:lineRule="exact"/>
              <w:rPr>
                <w:rFonts w:ascii="仿宋_GB2312" w:hAnsi="宋体" w:eastAsia="仿宋_GB2312" w:cs="宋体"/>
                <w:sz w:val="24"/>
                <w:szCs w:val="24"/>
              </w:rPr>
            </w:pPr>
          </w:p>
        </w:tc>
        <w:tc>
          <w:tcPr>
            <w:tcW w:w="3278" w:type="dxa"/>
          </w:tcPr>
          <w:p>
            <w:pPr>
              <w:tabs>
                <w:tab w:val="left" w:pos="5355"/>
              </w:tabs>
              <w:spacing w:line="400" w:lineRule="exact"/>
              <w:rPr>
                <w:rFonts w:ascii="仿宋_GB2312" w:hAnsi="宋体" w:eastAsia="仿宋_GB2312" w:cs="宋体"/>
                <w:sz w:val="24"/>
                <w:szCs w:val="24"/>
              </w:rPr>
            </w:pPr>
          </w:p>
        </w:tc>
        <w:tc>
          <w:tcPr>
            <w:tcW w:w="796" w:type="dxa"/>
            <w:vAlign w:val="center"/>
          </w:tcPr>
          <w:p>
            <w:pPr>
              <w:tabs>
                <w:tab w:val="left" w:pos="5355"/>
              </w:tabs>
              <w:spacing w:line="400" w:lineRule="exact"/>
              <w:jc w:val="center"/>
              <w:rPr>
                <w:rFonts w:ascii="仿宋_GB2312" w:hAnsi="宋体" w:eastAsia="仿宋_GB2312" w:cs="宋体"/>
                <w:sz w:val="24"/>
                <w:szCs w:val="24"/>
              </w:rPr>
            </w:pPr>
          </w:p>
        </w:tc>
      </w:tr>
    </w:tbl>
    <w:p>
      <w:pPr>
        <w:spacing w:line="460" w:lineRule="exact"/>
        <w:jc w:val="center"/>
        <w:outlineLvl w:val="1"/>
        <w:rPr>
          <w:rFonts w:ascii="宋体" w:hAnsi="宋体"/>
          <w:b/>
          <w:szCs w:val="21"/>
        </w:rPr>
      </w:pPr>
      <w:r>
        <w:rPr>
          <w:rFonts w:hint="eastAsia" w:ascii="宋体" w:hAnsi="宋体"/>
          <w:b/>
          <w:szCs w:val="21"/>
        </w:rPr>
        <w:t>商务条款偏离表</w:t>
      </w:r>
    </w:p>
    <w:tbl>
      <w:tblPr>
        <w:tblStyle w:val="27"/>
        <w:tblW w:w="92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528"/>
        <w:gridCol w:w="2993"/>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80" w:type="dxa"/>
            <w:vAlign w:val="center"/>
          </w:tcPr>
          <w:p>
            <w:pPr>
              <w:spacing w:line="380" w:lineRule="exact"/>
              <w:jc w:val="center"/>
              <w:rPr>
                <w:rFonts w:ascii="宋体" w:hAnsi="宋体"/>
                <w:szCs w:val="21"/>
              </w:rPr>
            </w:pPr>
            <w:r>
              <w:rPr>
                <w:rFonts w:hint="eastAsia" w:ascii="宋体" w:hAnsi="宋体"/>
                <w:szCs w:val="21"/>
              </w:rPr>
              <w:t>序号</w:t>
            </w:r>
          </w:p>
        </w:tc>
        <w:tc>
          <w:tcPr>
            <w:tcW w:w="2528" w:type="dxa"/>
            <w:vAlign w:val="center"/>
          </w:tcPr>
          <w:p>
            <w:pPr>
              <w:jc w:val="center"/>
              <w:rPr>
                <w:rFonts w:ascii="宋体" w:hAnsi="宋体"/>
                <w:szCs w:val="21"/>
              </w:rPr>
            </w:pPr>
            <w:r>
              <w:rPr>
                <w:rFonts w:hint="eastAsia" w:ascii="宋体" w:hAnsi="宋体"/>
                <w:szCs w:val="21"/>
              </w:rPr>
              <w:t>招标文件要求</w:t>
            </w:r>
          </w:p>
        </w:tc>
        <w:tc>
          <w:tcPr>
            <w:tcW w:w="2993" w:type="dxa"/>
            <w:vAlign w:val="center"/>
          </w:tcPr>
          <w:p>
            <w:pPr>
              <w:jc w:val="center"/>
              <w:rPr>
                <w:rFonts w:ascii="宋体" w:hAnsi="宋体"/>
                <w:szCs w:val="21"/>
              </w:rPr>
            </w:pPr>
            <w:r>
              <w:rPr>
                <w:rFonts w:hint="eastAsia" w:ascii="宋体" w:hAnsi="宋体"/>
                <w:szCs w:val="21"/>
              </w:rPr>
              <w:t>投标响应</w:t>
            </w:r>
          </w:p>
        </w:tc>
        <w:tc>
          <w:tcPr>
            <w:tcW w:w="2300" w:type="dxa"/>
            <w:vAlign w:val="center"/>
          </w:tcPr>
          <w:p>
            <w:pPr>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80" w:type="dxa"/>
          </w:tcPr>
          <w:p>
            <w:pPr>
              <w:jc w:val="center"/>
              <w:rPr>
                <w:rFonts w:ascii="宋体" w:hAnsi="宋体"/>
                <w:bCs/>
                <w:szCs w:val="21"/>
              </w:rPr>
            </w:pPr>
            <w:r>
              <w:rPr>
                <w:rFonts w:hint="eastAsia" w:ascii="宋体" w:hAnsi="宋体"/>
                <w:bCs/>
                <w:szCs w:val="21"/>
              </w:rPr>
              <w:t>1</w:t>
            </w:r>
          </w:p>
        </w:tc>
        <w:tc>
          <w:tcPr>
            <w:tcW w:w="2528" w:type="dxa"/>
          </w:tcPr>
          <w:p>
            <w:pPr>
              <w:spacing w:line="380" w:lineRule="exact"/>
              <w:rPr>
                <w:rFonts w:ascii="宋体" w:hAnsi="宋体"/>
                <w:sz w:val="24"/>
              </w:rPr>
            </w:pPr>
            <w:r>
              <w:rPr>
                <w:rFonts w:hint="eastAsia" w:ascii="宋体" w:hAnsi="宋体" w:cs="仿宋_GB2312"/>
                <w:szCs w:val="21"/>
                <w:lang w:val="zh-CN"/>
              </w:rPr>
              <w:t>服务期限</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80" w:type="dxa"/>
          </w:tcPr>
          <w:p>
            <w:pPr>
              <w:jc w:val="center"/>
              <w:rPr>
                <w:rFonts w:ascii="宋体" w:hAnsi="宋体"/>
                <w:bCs/>
                <w:szCs w:val="21"/>
              </w:rPr>
            </w:pPr>
            <w:r>
              <w:rPr>
                <w:rFonts w:hint="eastAsia" w:ascii="宋体" w:hAnsi="宋体"/>
                <w:bCs/>
                <w:szCs w:val="21"/>
              </w:rPr>
              <w:t>2</w:t>
            </w:r>
          </w:p>
        </w:tc>
        <w:tc>
          <w:tcPr>
            <w:tcW w:w="2528" w:type="dxa"/>
          </w:tcPr>
          <w:p>
            <w:pPr>
              <w:spacing w:line="380" w:lineRule="exact"/>
              <w:rPr>
                <w:rFonts w:ascii="宋体" w:hAnsi="宋体"/>
                <w:sz w:val="24"/>
              </w:rPr>
            </w:pPr>
            <w:r>
              <w:rPr>
                <w:rFonts w:hint="eastAsia" w:ascii="宋体" w:hAnsi="宋体" w:cs="仿宋_GB2312"/>
                <w:szCs w:val="21"/>
                <w:lang w:val="zh-CN"/>
              </w:rPr>
              <w:t>服务地点</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380" w:type="dxa"/>
          </w:tcPr>
          <w:p>
            <w:pPr>
              <w:jc w:val="center"/>
              <w:rPr>
                <w:rFonts w:ascii="宋体" w:hAnsi="宋体"/>
                <w:bCs/>
                <w:szCs w:val="21"/>
              </w:rPr>
            </w:pPr>
            <w:r>
              <w:rPr>
                <w:rFonts w:hint="eastAsia" w:ascii="宋体" w:hAnsi="宋体"/>
                <w:bCs/>
                <w:szCs w:val="21"/>
              </w:rPr>
              <w:t>3</w:t>
            </w:r>
          </w:p>
        </w:tc>
        <w:tc>
          <w:tcPr>
            <w:tcW w:w="2528" w:type="dxa"/>
          </w:tcPr>
          <w:p>
            <w:pPr>
              <w:spacing w:line="380" w:lineRule="exact"/>
              <w:rPr>
                <w:rFonts w:ascii="宋体" w:hAnsi="宋体"/>
                <w:sz w:val="24"/>
              </w:rPr>
            </w:pPr>
            <w:r>
              <w:rPr>
                <w:rFonts w:hint="eastAsia" w:ascii="宋体" w:hAnsi="宋体" w:cs="仿宋_GB2312"/>
                <w:szCs w:val="21"/>
                <w:lang w:val="zh-CN"/>
              </w:rPr>
              <w:t>付款方式</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380" w:type="dxa"/>
          </w:tcPr>
          <w:p>
            <w:pPr>
              <w:jc w:val="center"/>
              <w:rPr>
                <w:rFonts w:ascii="宋体" w:hAnsi="宋体"/>
                <w:bCs/>
                <w:szCs w:val="21"/>
              </w:rPr>
            </w:pPr>
            <w:r>
              <w:rPr>
                <w:rFonts w:hint="eastAsia" w:ascii="宋体" w:hAnsi="宋体"/>
                <w:bCs/>
                <w:szCs w:val="21"/>
              </w:rPr>
              <w:t>4</w:t>
            </w:r>
          </w:p>
        </w:tc>
        <w:tc>
          <w:tcPr>
            <w:tcW w:w="2528" w:type="dxa"/>
          </w:tcPr>
          <w:p>
            <w:pPr>
              <w:spacing w:line="380" w:lineRule="exact"/>
              <w:rPr>
                <w:rFonts w:ascii="宋体" w:hAnsi="宋体"/>
                <w:sz w:val="24"/>
              </w:rPr>
            </w:pPr>
            <w:r>
              <w:rPr>
                <w:rFonts w:hint="eastAsia" w:ascii="宋体" w:hAnsi="宋体" w:cs="仿宋_GB2312"/>
                <w:szCs w:val="21"/>
                <w:lang w:val="zh-CN"/>
              </w:rPr>
              <w:t>售后服务承诺</w:t>
            </w: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0" w:type="dxa"/>
          </w:tcPr>
          <w:p>
            <w:pPr>
              <w:jc w:val="center"/>
              <w:rPr>
                <w:rFonts w:ascii="宋体" w:hAnsi="宋体"/>
                <w:bCs/>
                <w:szCs w:val="21"/>
              </w:rPr>
            </w:pPr>
            <w:r>
              <w:rPr>
                <w:rFonts w:hint="eastAsia" w:ascii="宋体" w:hAnsi="宋体"/>
                <w:bCs/>
                <w:szCs w:val="21"/>
              </w:rPr>
              <w:t>……</w:t>
            </w:r>
          </w:p>
        </w:tc>
        <w:tc>
          <w:tcPr>
            <w:tcW w:w="2528" w:type="dxa"/>
          </w:tcPr>
          <w:p>
            <w:pPr>
              <w:rPr>
                <w:rFonts w:ascii="宋体" w:hAnsi="宋体" w:cs="仿宋_GB2312"/>
                <w:szCs w:val="21"/>
                <w:lang w:val="zh-CN"/>
              </w:rPr>
            </w:pPr>
          </w:p>
        </w:tc>
        <w:tc>
          <w:tcPr>
            <w:tcW w:w="2993" w:type="dxa"/>
            <w:vAlign w:val="center"/>
          </w:tcPr>
          <w:p>
            <w:pPr>
              <w:jc w:val="center"/>
              <w:rPr>
                <w:rFonts w:ascii="宋体" w:hAnsi="宋体"/>
                <w:szCs w:val="21"/>
              </w:rPr>
            </w:pPr>
          </w:p>
        </w:tc>
        <w:tc>
          <w:tcPr>
            <w:tcW w:w="2300" w:type="dxa"/>
            <w:vAlign w:val="center"/>
          </w:tcPr>
          <w:p>
            <w:pPr>
              <w:jc w:val="center"/>
              <w:rPr>
                <w:rFonts w:ascii="宋体" w:hAnsi="宋体"/>
                <w:szCs w:val="21"/>
              </w:rPr>
            </w:pPr>
          </w:p>
        </w:tc>
      </w:tr>
    </w:tbl>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★注意：1、</w:t>
      </w:r>
      <w:r>
        <w:rPr>
          <w:rFonts w:hint="eastAsia" w:ascii="仿宋_GB2312" w:hAnsi="宋体" w:eastAsia="仿宋_GB2312" w:cs="宋体"/>
          <w:sz w:val="24"/>
        </w:rPr>
        <w:t>投标人应根据招标文件</w:t>
      </w:r>
      <w:r>
        <w:rPr>
          <w:rFonts w:hint="eastAsia" w:ascii="仿宋_GB2312" w:hAnsi="宋体" w:eastAsia="仿宋_GB2312" w:cs="宋体"/>
          <w:b/>
          <w:sz w:val="24"/>
        </w:rPr>
        <w:t>第二部分中“招标内容及要求”</w:t>
      </w:r>
      <w:r>
        <w:rPr>
          <w:rFonts w:hint="eastAsia" w:ascii="仿宋_GB2312" w:hAnsi="宋体" w:eastAsia="仿宋_GB2312" w:cs="宋体"/>
          <w:sz w:val="24"/>
        </w:rPr>
        <w:t>，在本表中把招标文件要求与投标实际响应内容</w:t>
      </w:r>
      <w:r>
        <w:rPr>
          <w:rFonts w:hint="eastAsia" w:ascii="仿宋_GB2312" w:hAnsi="宋体" w:eastAsia="仿宋_GB2312" w:cs="宋体"/>
          <w:b/>
          <w:sz w:val="24"/>
        </w:rPr>
        <w:t>逐项详细</w:t>
      </w:r>
      <w:r>
        <w:rPr>
          <w:rFonts w:hint="eastAsia" w:ascii="仿宋_GB2312" w:hAnsi="宋体" w:eastAsia="仿宋_GB2312" w:cs="宋体"/>
          <w:sz w:val="24"/>
        </w:rPr>
        <w:t>对应列出，</w:t>
      </w:r>
      <w:r>
        <w:rPr>
          <w:rFonts w:hint="eastAsia" w:ascii="仿宋_GB2312" w:hAnsi="宋体" w:eastAsia="仿宋_GB2312" w:cs="宋体"/>
          <w:b/>
          <w:sz w:val="24"/>
        </w:rPr>
        <w:t>投标实际响应</w:t>
      </w:r>
      <w:r>
        <w:rPr>
          <w:rFonts w:hint="eastAsia" w:ascii="仿宋_GB2312" w:hAnsi="宋体" w:eastAsia="仿宋_GB2312" w:cs="宋体"/>
          <w:b/>
          <w:sz w:val="24"/>
          <w:szCs w:val="24"/>
        </w:rPr>
        <w:t>必须至少包含以下内容：服务及其详细说明，对于招标文件要求中“大于(或小于)等于”等某个区间值范围内的规格或人员配置，投标人在实际响应必须明确具体数值或配置，</w:t>
      </w:r>
      <w:r>
        <w:rPr>
          <w:rFonts w:hint="eastAsia" w:ascii="仿宋_GB2312" w:hAnsi="宋体" w:eastAsia="仿宋_GB2312" w:cs="宋体"/>
          <w:sz w:val="24"/>
        </w:rPr>
        <w:t>并在“偏离说明”项目填写以下内容：优于的，填写“正偏离”，</w:t>
      </w:r>
      <w:r>
        <w:rPr>
          <w:rFonts w:hint="eastAsia" w:ascii="仿宋_GB2312" w:hAnsi="宋体" w:eastAsia="仿宋_GB2312" w:cs="宋体"/>
          <w:b/>
          <w:sz w:val="24"/>
        </w:rPr>
        <w:t>应提供相关证明材料，加盖投标人公章，否则对于难以认定是否属于正偏离的情况，评委有权认定为负偏离</w:t>
      </w:r>
      <w:r>
        <w:rPr>
          <w:rFonts w:hint="eastAsia" w:ascii="仿宋_GB2312" w:hAnsi="宋体" w:eastAsia="仿宋_GB2312" w:cs="宋体"/>
          <w:sz w:val="24"/>
        </w:rPr>
        <w:t>；符合的，填写“无偏离”；低于的，填写“负偏离”。</w:t>
      </w:r>
      <w:r>
        <w:rPr>
          <w:rFonts w:hint="eastAsia" w:ascii="仿宋_GB2312" w:hAnsi="宋体" w:eastAsia="仿宋_GB2312" w:cs="宋体"/>
          <w:b/>
          <w:sz w:val="24"/>
        </w:rPr>
        <w:t>投标人若未按此格式填写，将被视为没有实质性响应招标文件。（投标人制表时应删去此段话）</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2.投标人提供相关证明材料复印件必须清晰可见全部内容，否则视为无效证件。相关证明材料原件务必在评审结束后领取中标通知书或签订合同前提供，否则视为未实质响应招标文件自动放弃中标资格。</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3.投标人须把所投</w:t>
      </w:r>
      <w:r>
        <w:rPr>
          <w:rFonts w:hint="eastAsia" w:ascii="仿宋_GB2312" w:hAnsi="宋体" w:eastAsia="仿宋_GB2312" w:cs="宋体"/>
          <w:b/>
          <w:sz w:val="24"/>
          <w:lang w:eastAsia="zh-CN"/>
        </w:rPr>
        <w:t>服务</w:t>
      </w:r>
      <w:r>
        <w:rPr>
          <w:rFonts w:hint="eastAsia" w:ascii="仿宋_GB2312" w:hAnsi="宋体" w:eastAsia="仿宋_GB2312" w:cs="宋体"/>
          <w:b/>
          <w:sz w:val="24"/>
        </w:rPr>
        <w:t>的详细</w:t>
      </w:r>
      <w:r>
        <w:rPr>
          <w:rFonts w:hint="eastAsia" w:ascii="仿宋_GB2312" w:hAnsi="宋体" w:eastAsia="仿宋_GB2312" w:cs="宋体"/>
          <w:b/>
          <w:sz w:val="24"/>
          <w:lang w:eastAsia="zh-CN"/>
        </w:rPr>
        <w:t>方案</w:t>
      </w:r>
      <w:r>
        <w:rPr>
          <w:rFonts w:hint="eastAsia" w:ascii="仿宋_GB2312" w:hAnsi="宋体" w:eastAsia="仿宋_GB2312" w:cs="宋体"/>
          <w:b/>
          <w:sz w:val="24"/>
        </w:rPr>
        <w:t>、售后服务等具体情况根据招标文件要求、技术商务偏离情况逐项进行描述，照搬招标文件内容或缺项，视为投标未实质性响应，经评标委员会核实直接认定为无效投标</w:t>
      </w:r>
    </w:p>
    <w:p>
      <w:pPr>
        <w:spacing w:beforeLines="50" w:line="360" w:lineRule="exact"/>
        <w:ind w:firstLine="482" w:firstLineChars="200"/>
        <w:rPr>
          <w:rFonts w:ascii="仿宋_GB2312" w:hAnsi="宋体" w:eastAsia="仿宋_GB2312" w:cs="宋体"/>
          <w:b/>
          <w:sz w:val="24"/>
        </w:rPr>
      </w:pPr>
      <w:r>
        <w:rPr>
          <w:rFonts w:hint="eastAsia" w:ascii="仿宋_GB2312" w:hAnsi="宋体" w:eastAsia="仿宋_GB2312" w:cs="宋体"/>
          <w:b/>
          <w:sz w:val="24"/>
        </w:rPr>
        <w:t>（投标人制表时应删去以上三个注意事项）</w:t>
      </w:r>
    </w:p>
    <w:p>
      <w:pPr>
        <w:spacing w:beforeLines="50" w:line="360" w:lineRule="exact"/>
        <w:ind w:firstLine="482"/>
        <w:rPr>
          <w:rFonts w:ascii="仿宋_GB2312" w:hAnsi="宋体" w:eastAsia="仿宋_GB2312" w:cs="宋体"/>
          <w:sz w:val="24"/>
        </w:rPr>
      </w:pPr>
    </w:p>
    <w:p>
      <w:pPr>
        <w:spacing w:line="360" w:lineRule="exact"/>
        <w:ind w:firstLine="480" w:firstLineChars="200"/>
        <w:rPr>
          <w:rFonts w:ascii="仿宋_GB2312" w:hAnsi="宋体" w:eastAsia="仿宋_GB2312" w:cs="宋体"/>
          <w:sz w:val="24"/>
        </w:rPr>
      </w:pPr>
    </w:p>
    <w:p>
      <w:pPr>
        <w:tabs>
          <w:tab w:val="left" w:pos="5355"/>
        </w:tabs>
        <w:spacing w:line="360" w:lineRule="exact"/>
        <w:rPr>
          <w:rFonts w:ascii="仿宋_GB2312" w:hAnsi="宋体" w:eastAsia="仿宋_GB2312" w:cs="宋体"/>
          <w:sz w:val="24"/>
          <w:szCs w:val="24"/>
          <w:u w:val="single"/>
        </w:rPr>
      </w:pPr>
      <w:r>
        <w:rPr>
          <w:rFonts w:hint="eastAsia" w:ascii="仿宋_GB2312" w:hAnsi="宋体" w:eastAsia="仿宋_GB2312" w:cs="宋体"/>
          <w:sz w:val="24"/>
          <w:szCs w:val="24"/>
        </w:rPr>
        <w:t>投标人代表签字：</w:t>
      </w:r>
    </w:p>
    <w:p>
      <w:pPr>
        <w:tabs>
          <w:tab w:val="left" w:pos="5355"/>
        </w:tabs>
        <w:spacing w:line="360" w:lineRule="exact"/>
        <w:rPr>
          <w:rFonts w:ascii="仿宋_GB2312" w:hAnsi="宋体" w:eastAsia="仿宋_GB2312" w:cs="宋体"/>
          <w:sz w:val="24"/>
          <w:szCs w:val="24"/>
        </w:rPr>
      </w:pPr>
    </w:p>
    <w:p>
      <w:pPr>
        <w:tabs>
          <w:tab w:val="left" w:pos="5355"/>
        </w:tabs>
        <w:spacing w:line="360" w:lineRule="exact"/>
        <w:rPr>
          <w:rFonts w:ascii="仿宋_GB2312" w:hAnsi="宋体" w:eastAsia="仿宋_GB2312" w:cs="宋体"/>
          <w:sz w:val="24"/>
          <w:szCs w:val="24"/>
        </w:rPr>
      </w:pPr>
      <w:r>
        <w:rPr>
          <w:rFonts w:hint="eastAsia" w:ascii="仿宋_GB2312" w:hAnsi="宋体" w:eastAsia="仿宋_GB2312" w:cs="宋体"/>
          <w:sz w:val="24"/>
          <w:szCs w:val="24"/>
        </w:rPr>
        <w:t>日     期：年月日</w:t>
      </w:r>
    </w:p>
    <w:p>
      <w:pPr>
        <w:tabs>
          <w:tab w:val="left" w:pos="5355"/>
        </w:tabs>
        <w:spacing w:line="4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spacing w:line="600" w:lineRule="exact"/>
        <w:rPr>
          <w:rFonts w:ascii="仿宋_GB2312" w:hAnsi="宋体" w:eastAsia="仿宋_GB2312" w:cs="宋体"/>
          <w:sz w:val="24"/>
          <w:szCs w:val="24"/>
        </w:rPr>
      </w:pPr>
    </w:p>
    <w:p>
      <w:pPr>
        <w:widowControl/>
        <w:jc w:val="left"/>
        <w:rPr>
          <w:rFonts w:ascii="仿宋_GB2312" w:hAnsi="宋体" w:eastAsia="仿宋_GB2312" w:cs="宋体"/>
          <w:sz w:val="24"/>
          <w:szCs w:val="24"/>
        </w:rPr>
      </w:pPr>
      <w:r>
        <w:rPr>
          <w:rFonts w:ascii="仿宋_GB2312" w:hAnsi="宋体" w:eastAsia="仿宋_GB2312" w:cs="宋体"/>
          <w:sz w:val="24"/>
          <w:szCs w:val="24"/>
        </w:rPr>
        <w:br w:type="page"/>
      </w:r>
    </w:p>
    <w:p>
      <w:pPr>
        <w:tabs>
          <w:tab w:val="left" w:pos="5355"/>
        </w:tabs>
        <w:jc w:val="center"/>
        <w:outlineLvl w:val="1"/>
        <w:rPr>
          <w:rFonts w:ascii="仿宋_GB2312" w:hAnsi="宋体" w:eastAsia="仿宋_GB2312" w:cs="宋体"/>
          <w:b/>
          <w:w w:val="90"/>
          <w:sz w:val="36"/>
          <w:szCs w:val="36"/>
        </w:rPr>
      </w:pPr>
      <w:bookmarkStart w:id="201" w:name="_Toc377051061"/>
      <w:bookmarkStart w:id="202" w:name="_Toc421861171"/>
      <w:bookmarkStart w:id="203" w:name="_Toc421861358"/>
      <w:r>
        <w:rPr>
          <w:rFonts w:hint="eastAsia" w:ascii="仿宋_GB2312" w:hAnsi="宋体" w:eastAsia="仿宋_GB2312" w:cs="宋体"/>
          <w:b/>
          <w:w w:val="90"/>
          <w:sz w:val="36"/>
          <w:szCs w:val="36"/>
        </w:rPr>
        <w:t>三、服务详细说明一览表</w:t>
      </w:r>
      <w:bookmarkEnd w:id="198"/>
      <w:bookmarkEnd w:id="199"/>
      <w:bookmarkEnd w:id="200"/>
      <w:bookmarkEnd w:id="201"/>
      <w:bookmarkEnd w:id="202"/>
      <w:bookmarkEnd w:id="203"/>
    </w:p>
    <w:p>
      <w:pPr>
        <w:tabs>
          <w:tab w:val="left" w:pos="5355"/>
        </w:tabs>
        <w:jc w:val="center"/>
        <w:rPr>
          <w:rFonts w:ascii="仿宋_GB2312" w:hAnsi="宋体" w:eastAsia="仿宋_GB2312" w:cs="宋体"/>
          <w:w w:val="90"/>
          <w:sz w:val="24"/>
          <w:szCs w:val="24"/>
        </w:rPr>
      </w:pP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（按投标货物合同包下品目号类别分别填写）</w:t>
      </w:r>
    </w:p>
    <w:p>
      <w:pPr>
        <w:tabs>
          <w:tab w:val="left" w:pos="5355"/>
        </w:tabs>
        <w:spacing w:beforeLines="100" w:afterLines="50"/>
        <w:rPr>
          <w:rFonts w:ascii="仿宋_GB2312" w:hAnsi="宋体" w:eastAsia="仿宋_GB2312" w:cs="宋体"/>
          <w:w w:val="90"/>
          <w:sz w:val="24"/>
          <w:szCs w:val="24"/>
        </w:rPr>
      </w:pPr>
      <w:r>
        <w:rPr>
          <w:rFonts w:hint="eastAsia" w:ascii="仿宋_GB2312" w:hAnsi="宋体" w:eastAsia="仿宋_GB2312" w:cs="宋体"/>
          <w:w w:val="90"/>
          <w:sz w:val="24"/>
          <w:szCs w:val="24"/>
        </w:rPr>
        <w:t>招标编号：</w:t>
      </w:r>
    </w:p>
    <w:p>
      <w:pPr>
        <w:tabs>
          <w:tab w:val="left" w:pos="5355"/>
        </w:tabs>
        <w:spacing w:beforeLines="100" w:afterLines="50"/>
        <w:rPr>
          <w:rFonts w:ascii="仿宋_GB2312" w:hAnsi="宋体" w:eastAsia="仿宋_GB2312" w:cs="宋体"/>
          <w:w w:val="90"/>
          <w:sz w:val="24"/>
          <w:szCs w:val="24"/>
        </w:rPr>
      </w:pPr>
      <w:r>
        <w:rPr>
          <w:rFonts w:hint="eastAsia" w:ascii="仿宋_GB2312" w:hAnsi="宋体" w:eastAsia="仿宋_GB2312" w:cs="宋体"/>
          <w:w w:val="90"/>
          <w:sz w:val="24"/>
          <w:szCs w:val="24"/>
        </w:rPr>
        <w:t>项目名称：</w:t>
      </w:r>
    </w:p>
    <w:tbl>
      <w:tblPr>
        <w:tblStyle w:val="27"/>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006"/>
        <w:gridCol w:w="1208"/>
        <w:gridCol w:w="808"/>
        <w:gridCol w:w="1410"/>
        <w:gridCol w:w="2413"/>
        <w:gridCol w:w="80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27"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合同包号</w:t>
            </w:r>
          </w:p>
        </w:tc>
        <w:tc>
          <w:tcPr>
            <w:tcW w:w="1006" w:type="dxa"/>
            <w:vAlign w:val="center"/>
          </w:tcPr>
          <w:p>
            <w:pPr>
              <w:tabs>
                <w:tab w:val="left" w:pos="5355"/>
              </w:tabs>
              <w:jc w:val="center"/>
              <w:rPr>
                <w:rFonts w:ascii="仿宋_GB2312" w:hAnsi="宋体" w:eastAsia="仿宋_GB2312" w:cs="宋体"/>
                <w:w w:val="90"/>
                <w:sz w:val="24"/>
                <w:szCs w:val="24"/>
              </w:rPr>
            </w:pPr>
          </w:p>
        </w:tc>
        <w:tc>
          <w:tcPr>
            <w:tcW w:w="1208"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品目</w:t>
            </w: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号</w:t>
            </w:r>
          </w:p>
        </w:tc>
        <w:tc>
          <w:tcPr>
            <w:tcW w:w="808" w:type="dxa"/>
            <w:vAlign w:val="center"/>
          </w:tcPr>
          <w:p>
            <w:pPr>
              <w:tabs>
                <w:tab w:val="left" w:pos="5355"/>
              </w:tabs>
              <w:jc w:val="center"/>
              <w:rPr>
                <w:rFonts w:ascii="仿宋_GB2312" w:hAnsi="宋体" w:eastAsia="仿宋_GB2312" w:cs="宋体"/>
                <w:w w:val="90"/>
                <w:sz w:val="24"/>
                <w:szCs w:val="24"/>
              </w:rPr>
            </w:pPr>
          </w:p>
        </w:tc>
        <w:tc>
          <w:tcPr>
            <w:tcW w:w="1410" w:type="dxa"/>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货物</w:t>
            </w:r>
          </w:p>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名称</w:t>
            </w:r>
          </w:p>
        </w:tc>
        <w:tc>
          <w:tcPr>
            <w:tcW w:w="2413" w:type="dxa"/>
            <w:tcBorders>
              <w:top w:val="single" w:color="auto" w:sz="4" w:space="0"/>
            </w:tcBorders>
            <w:vAlign w:val="center"/>
          </w:tcPr>
          <w:p>
            <w:pPr>
              <w:tabs>
                <w:tab w:val="left" w:pos="5355"/>
              </w:tabs>
              <w:jc w:val="center"/>
              <w:rPr>
                <w:rFonts w:ascii="仿宋_GB2312" w:hAnsi="宋体" w:eastAsia="仿宋_GB2312" w:cs="宋体"/>
                <w:w w:val="90"/>
                <w:sz w:val="24"/>
                <w:szCs w:val="24"/>
              </w:rPr>
            </w:pPr>
          </w:p>
        </w:tc>
        <w:tc>
          <w:tcPr>
            <w:tcW w:w="805" w:type="dxa"/>
            <w:tcBorders>
              <w:top w:val="single" w:color="auto" w:sz="4" w:space="0"/>
            </w:tcBorders>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数量</w:t>
            </w:r>
          </w:p>
        </w:tc>
        <w:tc>
          <w:tcPr>
            <w:tcW w:w="779" w:type="dxa"/>
            <w:tcBorders>
              <w:top w:val="single" w:color="auto" w:sz="4" w:space="0"/>
            </w:tcBorders>
            <w:vAlign w:val="center"/>
          </w:tcPr>
          <w:p>
            <w:pPr>
              <w:tabs>
                <w:tab w:val="left" w:pos="5355"/>
              </w:tabs>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333" w:type="dxa"/>
            <w:gridSpan w:val="2"/>
            <w:vAlign w:val="center"/>
          </w:tcPr>
          <w:p>
            <w:pPr>
              <w:tabs>
                <w:tab w:val="left" w:pos="5355"/>
              </w:tabs>
              <w:jc w:val="center"/>
              <w:rPr>
                <w:rFonts w:ascii="仿宋_GB2312" w:hAnsi="宋体" w:eastAsia="仿宋_GB2312" w:cs="宋体"/>
                <w:w w:val="90"/>
                <w:sz w:val="24"/>
                <w:szCs w:val="24"/>
              </w:rPr>
            </w:pPr>
            <w:r>
              <w:rPr>
                <w:rFonts w:hint="eastAsia" w:ascii="仿宋_GB2312" w:hAnsi="宋体" w:eastAsia="仿宋_GB2312" w:cs="宋体"/>
                <w:w w:val="90"/>
                <w:sz w:val="24"/>
                <w:szCs w:val="24"/>
              </w:rPr>
              <w:t>服务</w:t>
            </w:r>
          </w:p>
        </w:tc>
        <w:tc>
          <w:tcPr>
            <w:tcW w:w="7423" w:type="dxa"/>
            <w:gridSpan w:val="6"/>
            <w:vAlign w:val="center"/>
          </w:tcPr>
          <w:p>
            <w:pPr>
              <w:tabs>
                <w:tab w:val="left" w:pos="5355"/>
              </w:tabs>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6" w:hRule="atLeast"/>
          <w:jc w:val="center"/>
        </w:trPr>
        <w:tc>
          <w:tcPr>
            <w:tcW w:w="9756" w:type="dxa"/>
            <w:gridSpan w:val="8"/>
          </w:tcPr>
          <w:p>
            <w:pPr>
              <w:tabs>
                <w:tab w:val="left" w:pos="5355"/>
              </w:tabs>
              <w:rPr>
                <w:rFonts w:ascii="仿宋_GB2312" w:hAnsi="宋体" w:eastAsia="仿宋_GB2312" w:cs="宋体"/>
                <w:w w:val="90"/>
                <w:sz w:val="24"/>
                <w:szCs w:val="24"/>
              </w:rPr>
            </w:pPr>
            <w:r>
              <w:rPr>
                <w:rFonts w:hint="eastAsia" w:ascii="仿宋_GB2312" w:hAnsi="宋体" w:eastAsia="仿宋_GB2312" w:cs="宋体"/>
                <w:w w:val="90"/>
                <w:sz w:val="24"/>
                <w:szCs w:val="24"/>
              </w:rPr>
              <w:t>货物详细说明：</w:t>
            </w:r>
          </w:p>
        </w:tc>
      </w:tr>
    </w:tbl>
    <w:p>
      <w:pPr>
        <w:tabs>
          <w:tab w:val="left" w:pos="5355"/>
        </w:tabs>
        <w:spacing w:beforeLines="50"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注：投标人须把所投货物的详细配置、售后服务等具体情况根据招标文件要求、技术商务偏离情况逐项进行描述。</w:t>
      </w:r>
    </w:p>
    <w:p>
      <w:pPr>
        <w:spacing w:line="600" w:lineRule="exact"/>
        <w:rPr>
          <w:rFonts w:ascii="仿宋_GB2312" w:hAnsi="宋体" w:eastAsia="仿宋_GB2312" w:cs="宋体"/>
          <w:w w:val="90"/>
          <w:sz w:val="24"/>
          <w:szCs w:val="24"/>
        </w:rPr>
      </w:pPr>
      <w:bookmarkStart w:id="204" w:name="_Toc279482448"/>
      <w:bookmarkStart w:id="205" w:name="_Toc277925739"/>
      <w:bookmarkStart w:id="206" w:name="_Toc225312840"/>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600" w:lineRule="exact"/>
        <w:rPr>
          <w:rFonts w:ascii="仿宋_GB2312" w:hAnsi="宋体" w:eastAsia="仿宋_GB2312" w:cs="宋体"/>
          <w:sz w:val="24"/>
          <w:szCs w:val="24"/>
        </w:rPr>
        <w:sectPr>
          <w:footerReference r:id="rId7" w:type="default"/>
          <w:pgSz w:w="11907" w:h="16840"/>
          <w:pgMar w:top="1440" w:right="1107" w:bottom="1440" w:left="1260" w:header="851" w:footer="992" w:gutter="0"/>
          <w:pgNumType w:start="1"/>
          <w:cols w:space="720" w:num="1"/>
          <w:docGrid w:linePitch="323" w:charSpace="-2"/>
        </w:sectPr>
      </w:pPr>
    </w:p>
    <w:p>
      <w:pPr>
        <w:tabs>
          <w:tab w:val="left" w:pos="5355"/>
        </w:tabs>
        <w:jc w:val="center"/>
        <w:outlineLvl w:val="1"/>
        <w:rPr>
          <w:rFonts w:ascii="仿宋_GB2312" w:hAnsi="宋体" w:eastAsia="仿宋_GB2312" w:cs="宋体"/>
          <w:b/>
          <w:w w:val="90"/>
          <w:sz w:val="36"/>
          <w:szCs w:val="36"/>
        </w:rPr>
      </w:pPr>
      <w:bookmarkStart w:id="207" w:name="_Toc377051062"/>
      <w:bookmarkStart w:id="208" w:name="_Toc421861359"/>
      <w:bookmarkStart w:id="209" w:name="_Toc421861172"/>
      <w:r>
        <w:rPr>
          <w:rFonts w:hint="eastAsia" w:ascii="仿宋_GB2312" w:hAnsi="宋体" w:eastAsia="仿宋_GB2312" w:cs="宋体"/>
          <w:b/>
          <w:w w:val="90"/>
          <w:sz w:val="36"/>
          <w:szCs w:val="36"/>
        </w:rPr>
        <w:t>四、服务范围清单</w:t>
      </w:r>
      <w:bookmarkEnd w:id="207"/>
      <w:bookmarkEnd w:id="208"/>
      <w:bookmarkEnd w:id="209"/>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500" w:lineRule="exact"/>
        <w:jc w:val="center"/>
        <w:outlineLvl w:val="1"/>
        <w:rPr>
          <w:rFonts w:ascii="仿宋_GB2312" w:hAnsi="宋体" w:eastAsia="仿宋_GB2312" w:cs="宋体"/>
          <w:b/>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sectPr>
          <w:pgSz w:w="11907" w:h="16840"/>
          <w:pgMar w:top="1440" w:right="1107" w:bottom="1440" w:left="1260" w:header="851" w:footer="992" w:gutter="0"/>
          <w:cols w:space="720" w:num="1"/>
          <w:docGrid w:linePitch="323" w:charSpace="-2"/>
        </w:sectPr>
      </w:pPr>
      <w:r>
        <w:rPr>
          <w:rFonts w:hint="eastAsia" w:ascii="仿宋_GB2312" w:hAnsi="宋体" w:eastAsia="仿宋_GB2312" w:cs="宋体"/>
          <w:w w:val="90"/>
          <w:sz w:val="24"/>
          <w:szCs w:val="24"/>
        </w:rPr>
        <w:t>日    期：年月日</w:t>
      </w:r>
    </w:p>
    <w:p>
      <w:pPr>
        <w:spacing w:line="500" w:lineRule="exact"/>
        <w:jc w:val="center"/>
        <w:outlineLvl w:val="1"/>
        <w:rPr>
          <w:rFonts w:ascii="仿宋_GB2312" w:hAnsi="宋体" w:eastAsia="仿宋_GB2312" w:cs="宋体"/>
          <w:b/>
          <w:sz w:val="24"/>
          <w:szCs w:val="24"/>
        </w:rPr>
      </w:pPr>
    </w:p>
    <w:p>
      <w:pPr>
        <w:tabs>
          <w:tab w:val="left" w:pos="5355"/>
        </w:tabs>
        <w:jc w:val="center"/>
        <w:outlineLvl w:val="1"/>
        <w:rPr>
          <w:rFonts w:ascii="仿宋_GB2312" w:hAnsi="宋体" w:eastAsia="仿宋_GB2312" w:cs="宋体"/>
          <w:b/>
          <w:w w:val="90"/>
          <w:sz w:val="36"/>
          <w:szCs w:val="36"/>
        </w:rPr>
      </w:pPr>
      <w:bookmarkStart w:id="210" w:name="_Toc421861360"/>
      <w:bookmarkStart w:id="211" w:name="_Toc377051063"/>
      <w:bookmarkStart w:id="212" w:name="_Toc421861173"/>
      <w:r>
        <w:rPr>
          <w:rFonts w:hint="eastAsia" w:ascii="仿宋_GB2312" w:hAnsi="宋体" w:eastAsia="仿宋_GB2312" w:cs="宋体"/>
          <w:b/>
          <w:w w:val="90"/>
          <w:sz w:val="36"/>
          <w:szCs w:val="36"/>
        </w:rPr>
        <w:t>五、投标人的资格证明文件</w:t>
      </w:r>
      <w:bookmarkEnd w:id="204"/>
      <w:bookmarkEnd w:id="205"/>
      <w:bookmarkEnd w:id="206"/>
      <w:bookmarkEnd w:id="210"/>
      <w:bookmarkEnd w:id="211"/>
      <w:bookmarkEnd w:id="212"/>
    </w:p>
    <w:p>
      <w:pPr>
        <w:tabs>
          <w:tab w:val="left" w:pos="5355"/>
        </w:tabs>
        <w:jc w:val="center"/>
        <w:outlineLvl w:val="1"/>
        <w:rPr>
          <w:rFonts w:ascii="仿宋_GB2312" w:hAnsi="宋体" w:eastAsia="仿宋_GB2312" w:cs="宋体"/>
          <w:b/>
          <w:w w:val="90"/>
          <w:sz w:val="36"/>
          <w:szCs w:val="36"/>
        </w:rPr>
      </w:pPr>
    </w:p>
    <w:p>
      <w:pPr>
        <w:tabs>
          <w:tab w:val="left" w:pos="5355"/>
        </w:tabs>
        <w:jc w:val="center"/>
        <w:outlineLvl w:val="1"/>
        <w:rPr>
          <w:rFonts w:ascii="仿宋_GB2312" w:hAnsi="宋体" w:eastAsia="仿宋_GB2312" w:cs="宋体"/>
          <w:b/>
          <w:w w:val="90"/>
          <w:sz w:val="36"/>
          <w:szCs w:val="36"/>
        </w:rPr>
      </w:pPr>
      <w:bookmarkStart w:id="213" w:name="_Toc377051064"/>
      <w:bookmarkStart w:id="214" w:name="_Toc421861174"/>
      <w:bookmarkStart w:id="215" w:name="_Toc421861361"/>
      <w:bookmarkStart w:id="216" w:name="_Toc225312841"/>
      <w:bookmarkStart w:id="217" w:name="_Toc277925740"/>
      <w:bookmarkStart w:id="218" w:name="_Toc279482449"/>
      <w:r>
        <w:rPr>
          <w:rFonts w:hint="eastAsia" w:ascii="仿宋_GB2312" w:hAnsi="宋体" w:eastAsia="仿宋_GB2312" w:cs="宋体"/>
          <w:b/>
          <w:w w:val="90"/>
          <w:sz w:val="36"/>
          <w:szCs w:val="36"/>
        </w:rPr>
        <w:t>关于资格的声明函</w:t>
      </w:r>
      <w:bookmarkEnd w:id="213"/>
      <w:bookmarkEnd w:id="214"/>
      <w:bookmarkEnd w:id="215"/>
      <w:bookmarkEnd w:id="216"/>
      <w:bookmarkEnd w:id="217"/>
      <w:bookmarkEnd w:id="218"/>
    </w:p>
    <w:p>
      <w:pPr>
        <w:spacing w:line="500" w:lineRule="exact"/>
        <w:jc w:val="center"/>
        <w:rPr>
          <w:rFonts w:ascii="仿宋_GB2312" w:hAnsi="宋体" w:eastAsia="仿宋_GB2312" w:cs="宋体"/>
          <w:sz w:val="24"/>
          <w:szCs w:val="24"/>
          <w:u w:val="single"/>
        </w:rPr>
      </w:pPr>
    </w:p>
    <w:p>
      <w:pPr>
        <w:spacing w:line="500" w:lineRule="exact"/>
        <w:rPr>
          <w:rFonts w:ascii="仿宋_GB2312" w:hAnsi="宋体" w:eastAsia="仿宋_GB2312" w:cs="宋体"/>
          <w:w w:val="90"/>
          <w:sz w:val="24"/>
          <w:szCs w:val="24"/>
        </w:rPr>
      </w:pPr>
      <w:r>
        <w:rPr>
          <w:rFonts w:hint="eastAsia" w:ascii="仿宋_GB2312" w:hAnsi="宋体" w:eastAsia="仿宋_GB2312" w:cs="宋体"/>
          <w:b/>
          <w:w w:val="90"/>
          <w:sz w:val="24"/>
          <w:szCs w:val="24"/>
          <w:u w:val="single"/>
        </w:rPr>
        <w:t>福建元丰招标有限公司</w:t>
      </w:r>
      <w:r>
        <w:rPr>
          <w:rFonts w:hint="eastAsia" w:ascii="仿宋_GB2312" w:hAnsi="宋体" w:eastAsia="仿宋_GB2312" w:cs="宋体"/>
          <w:w w:val="90"/>
          <w:sz w:val="24"/>
          <w:szCs w:val="24"/>
        </w:rPr>
        <w:t>：</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关于贵方年月日第（招标编号）投标邀请，本签字人愿意参加投标，提供招标文件“招标服务及要求”中规定的（合同包/品目号）（服务名称），并证明提交的下列文件和说明是准确的和真实的。 </w:t>
      </w:r>
    </w:p>
    <w:p>
      <w:pPr>
        <w:numPr>
          <w:ilvl w:val="0"/>
          <w:numId w:val="3"/>
        </w:num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本签字人确认资格文件中的说明以及投标文件中所有提交的文件和材料是真实的、准确的。</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2.一旦我方被确定中标客户标银行，我行将出具谦政承诺</w:t>
      </w:r>
      <w:r>
        <w:rPr>
          <w:rFonts w:hint="eastAsia" w:ascii="仿宋_GB2312" w:hAnsi="宋体" w:eastAsia="仿宋_GB2312" w:cs="宋体"/>
          <w:color w:val="auto"/>
          <w:w w:val="90"/>
          <w:sz w:val="24"/>
          <w:szCs w:val="24"/>
        </w:rPr>
        <w:t>书，承诺不向</w:t>
      </w:r>
      <w:r>
        <w:rPr>
          <w:rFonts w:hint="eastAsia" w:ascii="仿宋_GB2312" w:hAnsi="宋体" w:eastAsia="仿宋_GB2312" w:cs="宋体"/>
          <w:color w:val="auto"/>
          <w:w w:val="90"/>
          <w:sz w:val="24"/>
          <w:szCs w:val="24"/>
          <w:lang w:val="zh-CN"/>
        </w:rPr>
        <w:t>泉州市</w:t>
      </w:r>
      <w:r>
        <w:rPr>
          <w:rFonts w:hint="eastAsia" w:ascii="仿宋_GB2312" w:hAnsi="宋体" w:eastAsia="仿宋_GB2312" w:cs="宋体"/>
          <w:color w:val="auto"/>
          <w:w w:val="90"/>
          <w:sz w:val="24"/>
          <w:szCs w:val="24"/>
          <w:lang w:val="zh-CN" w:eastAsia="zh-CN"/>
        </w:rPr>
        <w:t>应急管理</w:t>
      </w:r>
      <w:r>
        <w:rPr>
          <w:rFonts w:hint="eastAsia" w:ascii="仿宋_GB2312" w:hAnsi="宋体" w:eastAsia="仿宋_GB2312" w:cs="宋体"/>
          <w:color w:val="auto"/>
          <w:w w:val="90"/>
          <w:sz w:val="24"/>
          <w:szCs w:val="24"/>
          <w:lang w:val="zh-CN"/>
        </w:rPr>
        <w:t>局</w:t>
      </w:r>
      <w:r>
        <w:rPr>
          <w:rFonts w:hint="eastAsia" w:ascii="仿宋_GB2312" w:hAnsi="宋体" w:eastAsia="仿宋_GB2312" w:cs="宋体"/>
          <w:color w:val="auto"/>
          <w:w w:val="90"/>
          <w:sz w:val="24"/>
          <w:szCs w:val="24"/>
        </w:rPr>
        <w:t>相关人员输送任何利益，承诺资金存放不与</w:t>
      </w:r>
      <w:r>
        <w:rPr>
          <w:rFonts w:hint="eastAsia" w:ascii="仿宋_GB2312" w:hAnsi="宋体" w:eastAsia="仿宋_GB2312" w:cs="宋体"/>
          <w:color w:val="auto"/>
          <w:w w:val="90"/>
          <w:sz w:val="24"/>
          <w:szCs w:val="24"/>
          <w:lang w:val="zh-CN"/>
        </w:rPr>
        <w:t>泉州市</w:t>
      </w:r>
      <w:r>
        <w:rPr>
          <w:rFonts w:hint="eastAsia" w:ascii="仿宋_GB2312" w:hAnsi="宋体" w:eastAsia="仿宋_GB2312" w:cs="宋体"/>
          <w:color w:val="auto"/>
          <w:w w:val="90"/>
          <w:sz w:val="24"/>
          <w:szCs w:val="24"/>
          <w:lang w:val="zh-CN" w:eastAsia="zh-CN"/>
        </w:rPr>
        <w:t>应急管理</w:t>
      </w:r>
      <w:r>
        <w:rPr>
          <w:rFonts w:hint="eastAsia" w:ascii="仿宋_GB2312" w:hAnsi="宋体" w:eastAsia="仿宋_GB2312" w:cs="宋体"/>
          <w:color w:val="auto"/>
          <w:w w:val="90"/>
          <w:sz w:val="24"/>
          <w:szCs w:val="24"/>
          <w:lang w:val="zh-CN"/>
        </w:rPr>
        <w:t>局</w:t>
      </w:r>
      <w:r>
        <w:rPr>
          <w:rFonts w:hint="eastAsia" w:ascii="仿宋_GB2312" w:hAnsi="宋体" w:eastAsia="仿宋_GB2312" w:cs="宋体"/>
          <w:color w:val="auto"/>
          <w:w w:val="90"/>
          <w:sz w:val="24"/>
          <w:szCs w:val="24"/>
        </w:rPr>
        <w:t>相关人员在本行亲属的业绩，收入挂钩等规定，严格履行</w:t>
      </w:r>
      <w:r>
        <w:rPr>
          <w:rFonts w:hint="eastAsia" w:ascii="仿宋_GB2312" w:hAnsi="宋体" w:eastAsia="仿宋_GB2312" w:cs="宋体"/>
          <w:w w:val="90"/>
          <w:sz w:val="24"/>
          <w:szCs w:val="24"/>
        </w:rPr>
        <w:t>行相关责任和义务。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3．我方的资格声明正本1份，副本5份，随投标文件一同递交。</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地     址：</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邮     编：</w:t>
      </w:r>
    </w:p>
    <w:p>
      <w:pPr>
        <w:spacing w:line="500" w:lineRule="exact"/>
        <w:rPr>
          <w:rFonts w:ascii="仿宋_GB2312" w:hAnsi="宋体" w:eastAsia="仿宋_GB2312" w:cs="宋体"/>
          <w:sz w:val="24"/>
          <w:szCs w:val="24"/>
        </w:rPr>
      </w:pPr>
      <w:r>
        <w:rPr>
          <w:rFonts w:hint="eastAsia" w:ascii="仿宋_GB2312" w:hAnsi="宋体" w:eastAsia="仿宋_GB2312" w:cs="宋体"/>
          <w:w w:val="90"/>
          <w:sz w:val="24"/>
          <w:szCs w:val="24"/>
        </w:rPr>
        <w:t>电 话/传 真：</w:t>
      </w:r>
    </w:p>
    <w:p>
      <w:pPr>
        <w:rPr>
          <w:rFonts w:ascii="仿宋_GB2312" w:hAnsi="宋体" w:eastAsia="仿宋_GB2312" w:cs="宋体"/>
          <w:sz w:val="24"/>
          <w:szCs w:val="24"/>
        </w:rPr>
        <w:sectPr>
          <w:headerReference r:id="rId8" w:type="default"/>
          <w:pgSz w:w="11907" w:h="16840"/>
          <w:pgMar w:top="1440" w:right="1107" w:bottom="1440" w:left="1260" w:header="851" w:footer="992" w:gutter="0"/>
          <w:cols w:space="720" w:num="1"/>
          <w:docGrid w:linePitch="323" w:charSpace="-2"/>
        </w:sectPr>
      </w:pPr>
    </w:p>
    <w:p>
      <w:pPr>
        <w:spacing w:line="500" w:lineRule="exact"/>
        <w:jc w:val="center"/>
        <w:outlineLvl w:val="2"/>
        <w:rPr>
          <w:rFonts w:ascii="仿宋_GB2312" w:hAnsi="宋体" w:eastAsia="仿宋_GB2312" w:cs="宋体"/>
          <w:b/>
          <w:w w:val="90"/>
          <w:sz w:val="36"/>
          <w:szCs w:val="36"/>
        </w:rPr>
      </w:pPr>
      <w:bookmarkStart w:id="219" w:name="_Toc421861175"/>
      <w:bookmarkStart w:id="220" w:name="_Toc225312842"/>
      <w:bookmarkStart w:id="221" w:name="_Toc277925741"/>
      <w:bookmarkStart w:id="222" w:name="_Toc377051065"/>
      <w:bookmarkStart w:id="223" w:name="_Toc279482450"/>
      <w:bookmarkStart w:id="224" w:name="_Toc421861362"/>
    </w:p>
    <w:p>
      <w:pPr>
        <w:spacing w:line="500" w:lineRule="exact"/>
        <w:jc w:val="center"/>
        <w:outlineLvl w:val="2"/>
        <w:rPr>
          <w:rFonts w:ascii="仿宋_GB2312" w:hAnsi="宋体" w:eastAsia="仿宋_GB2312" w:cs="宋体"/>
          <w:b/>
          <w:w w:val="90"/>
          <w:sz w:val="36"/>
          <w:szCs w:val="36"/>
        </w:rPr>
      </w:pPr>
      <w:r>
        <w:rPr>
          <w:rFonts w:hint="eastAsia" w:ascii="仿宋_GB2312" w:hAnsi="宋体" w:eastAsia="仿宋_GB2312" w:cs="宋体"/>
          <w:b/>
          <w:w w:val="90"/>
          <w:sz w:val="36"/>
          <w:szCs w:val="36"/>
        </w:rPr>
        <w:t>投标人的资格声明</w:t>
      </w:r>
      <w:bookmarkEnd w:id="219"/>
      <w:bookmarkEnd w:id="220"/>
      <w:bookmarkEnd w:id="221"/>
      <w:bookmarkEnd w:id="222"/>
      <w:bookmarkEnd w:id="223"/>
      <w:bookmarkEnd w:id="224"/>
      <w:r>
        <w:rPr>
          <w:rFonts w:hint="eastAsia" w:ascii="仿宋_GB2312" w:hAnsi="宋体" w:eastAsia="仿宋_GB2312" w:cs="宋体"/>
          <w:b/>
          <w:w w:val="90"/>
          <w:sz w:val="36"/>
          <w:szCs w:val="36"/>
        </w:rPr>
        <w:cr/>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1．投标人概况： </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Ａ．投标人名称：</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Ｂ．注册地址：</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传 真：  电 话： 邮 编：</w:t>
      </w:r>
      <w:r>
        <w:rPr>
          <w:rFonts w:hint="eastAsia" w:ascii="仿宋_GB2312" w:hAnsi="宋体" w:eastAsia="仿宋_GB2312" w:cs="宋体"/>
          <w:w w:val="90"/>
          <w:sz w:val="24"/>
          <w:szCs w:val="24"/>
        </w:rPr>
        <w:cr/>
      </w:r>
      <w:r>
        <w:rPr>
          <w:rFonts w:hint="eastAsia" w:ascii="仿宋_GB2312" w:hAnsi="宋体" w:eastAsia="仿宋_GB2312" w:cs="宋体"/>
          <w:w w:val="90"/>
          <w:sz w:val="24"/>
          <w:szCs w:val="24"/>
        </w:rPr>
        <w:t xml:space="preserve">        Ｃ．成立或注册日期：</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Ｄ．法人代表：（姓名、职务）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实收资本：</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其中 国家资本： 法人资本：</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个人资本： 外商资本：</w:t>
      </w:r>
    </w:p>
    <w:p>
      <w:pPr>
        <w:spacing w:line="500" w:lineRule="exact"/>
        <w:ind w:firstLine="432" w:firstLineChars="200"/>
        <w:rPr>
          <w:rFonts w:hint="eastAsia" w:ascii="仿宋_GB2312" w:hAnsi="宋体" w:eastAsia="仿宋_GB2312" w:cs="宋体"/>
          <w:w w:val="90"/>
          <w:sz w:val="24"/>
          <w:szCs w:val="24"/>
        </w:rPr>
      </w:pPr>
      <w:r>
        <w:rPr>
          <w:rFonts w:hint="eastAsia" w:ascii="仿宋_GB2312" w:hAnsi="宋体" w:eastAsia="仿宋_GB2312" w:cs="宋体"/>
          <w:w w:val="90"/>
          <w:sz w:val="24"/>
          <w:szCs w:val="24"/>
        </w:rPr>
        <w:t xml:space="preserve">    Ｅ．最近资产负债表（到201</w:t>
      </w:r>
      <w:r>
        <w:rPr>
          <w:rFonts w:hint="eastAsia" w:ascii="仿宋_GB2312" w:hAnsi="宋体" w:eastAsia="仿宋_GB2312" w:cs="宋体"/>
          <w:w w:val="90"/>
          <w:sz w:val="24"/>
          <w:szCs w:val="24"/>
          <w:lang w:val="en-US" w:eastAsia="zh-CN"/>
        </w:rPr>
        <w:t>9</w:t>
      </w:r>
      <w:r>
        <w:rPr>
          <w:rFonts w:hint="eastAsia" w:ascii="仿宋_GB2312" w:hAnsi="宋体" w:eastAsia="仿宋_GB2312" w:cs="宋体"/>
          <w:w w:val="90"/>
          <w:sz w:val="24"/>
          <w:szCs w:val="24"/>
        </w:rPr>
        <w:t>年12月31日为止）。</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(1) 固定资产合计: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(2) 流动资产合计: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(3) 长期负债合计: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(4) 流动负债合计: </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Ｆ．最近损益表（到</w:t>
      </w:r>
      <w:r>
        <w:rPr>
          <w:rFonts w:hint="eastAsia" w:ascii="仿宋_GB2312" w:hAnsi="宋体" w:eastAsia="仿宋_GB2312" w:cs="宋体"/>
          <w:w w:val="90"/>
          <w:sz w:val="24"/>
          <w:szCs w:val="24"/>
          <w:u w:val="single"/>
        </w:rPr>
        <w:t>201</w:t>
      </w:r>
      <w:r>
        <w:rPr>
          <w:rFonts w:hint="eastAsia" w:ascii="仿宋_GB2312" w:hAnsi="宋体" w:eastAsia="仿宋_GB2312" w:cs="宋体"/>
          <w:w w:val="90"/>
          <w:sz w:val="24"/>
          <w:szCs w:val="24"/>
          <w:u w:val="single"/>
          <w:lang w:val="en-US" w:eastAsia="zh-CN"/>
        </w:rPr>
        <w:t>9</w:t>
      </w:r>
      <w:r>
        <w:rPr>
          <w:rFonts w:hint="eastAsia" w:ascii="仿宋_GB2312" w:hAnsi="宋体" w:eastAsia="仿宋_GB2312" w:cs="宋体"/>
          <w:w w:val="90"/>
          <w:sz w:val="24"/>
          <w:szCs w:val="24"/>
          <w:u w:val="single"/>
        </w:rPr>
        <w:t>年</w:t>
      </w:r>
      <w:r>
        <w:rPr>
          <w:rFonts w:hint="eastAsia" w:ascii="仿宋_GB2312" w:hAnsi="宋体" w:eastAsia="仿宋_GB2312" w:cs="宋体"/>
          <w:w w:val="90"/>
          <w:sz w:val="24"/>
          <w:szCs w:val="24"/>
        </w:rPr>
        <w:t>12月</w:t>
      </w:r>
      <w:r>
        <w:rPr>
          <w:rFonts w:hint="eastAsia" w:ascii="仿宋_GB2312" w:hAnsi="宋体" w:eastAsia="仿宋_GB2312" w:cs="宋体"/>
          <w:w w:val="90"/>
          <w:sz w:val="24"/>
          <w:szCs w:val="24"/>
          <w:u w:val="single"/>
        </w:rPr>
        <w:t>31</w:t>
      </w:r>
      <w:r>
        <w:rPr>
          <w:rFonts w:hint="eastAsia" w:ascii="仿宋_GB2312" w:hAnsi="宋体" w:eastAsia="仿宋_GB2312" w:cs="宋体"/>
          <w:w w:val="90"/>
          <w:sz w:val="24"/>
          <w:szCs w:val="24"/>
        </w:rPr>
        <w:t>日为止）。</w:t>
      </w:r>
    </w:p>
    <w:p>
      <w:pPr>
        <w:spacing w:line="500" w:lineRule="exact"/>
        <w:ind w:firstLine="1296" w:firstLineChars="600"/>
        <w:rPr>
          <w:rFonts w:ascii="仿宋_GB2312" w:hAnsi="宋体" w:eastAsia="仿宋_GB2312" w:cs="宋体"/>
          <w:w w:val="90"/>
          <w:sz w:val="24"/>
          <w:szCs w:val="24"/>
        </w:rPr>
      </w:pPr>
      <w:r>
        <w:rPr>
          <w:rFonts w:hint="eastAsia" w:ascii="仿宋_GB2312" w:hAnsi="宋体" w:eastAsia="仿宋_GB2312" w:cs="宋体"/>
          <w:w w:val="90"/>
          <w:sz w:val="24"/>
          <w:szCs w:val="24"/>
        </w:rPr>
        <w:t>(1) 本年（期）利润总额累计：</w:t>
      </w:r>
    </w:p>
    <w:p>
      <w:pPr>
        <w:spacing w:line="500" w:lineRule="exact"/>
        <w:ind w:firstLine="1296" w:firstLineChars="600"/>
        <w:rPr>
          <w:rFonts w:ascii="仿宋_GB2312" w:hAnsi="宋体" w:eastAsia="仿宋_GB2312" w:cs="宋体"/>
          <w:w w:val="90"/>
          <w:sz w:val="24"/>
          <w:szCs w:val="24"/>
        </w:rPr>
      </w:pPr>
      <w:r>
        <w:rPr>
          <w:rFonts w:hint="eastAsia" w:ascii="仿宋_GB2312" w:hAnsi="宋体" w:eastAsia="仿宋_GB2312" w:cs="宋体"/>
          <w:w w:val="90"/>
          <w:sz w:val="24"/>
          <w:szCs w:val="24"/>
        </w:rPr>
        <w:t>(2) 本年（期）净利润累计：</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2．我方在此声明，我方具备并满足下列各项条款的规定。本声明如有虚假或不实之处，我方将失去合格投标人资格且我方的投标保证金将不予退还。</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（1）具有独立承担民事责任的能力；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（2）具有良好的商业信誉和健全的财务会计制度；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（3）具有履行合同所必需的设备和专业技术能力；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 xml:space="preserve">（4）有依法缴纳税收和社会保障资金的良好记录； </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（5）近三年内，在经营活动中没有重大违法记录；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（6）没有如《招标文件》中3.3所列关联情形；</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（7）没有为整体招标项目或其中分项的前期工作提供可行性研究、设计、编制规范、进行管理等服务；</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（8）没有被</w:t>
      </w:r>
      <w:r>
        <w:rPr>
          <w:rFonts w:ascii="仿宋_GB2312" w:hAnsi="宋体" w:eastAsia="仿宋_GB2312" w:cs="宋体"/>
          <w:w w:val="90"/>
          <w:sz w:val="24"/>
          <w:szCs w:val="24"/>
        </w:rPr>
        <w:t>列入</w:t>
      </w:r>
      <w:r>
        <w:rPr>
          <w:rFonts w:hint="eastAsia" w:ascii="仿宋_GB2312" w:hAnsi="宋体" w:eastAsia="仿宋_GB2312" w:cs="宋体"/>
          <w:w w:val="90"/>
          <w:sz w:val="24"/>
          <w:szCs w:val="24"/>
        </w:rPr>
        <w:t>财政部</w:t>
      </w:r>
      <w:r>
        <w:rPr>
          <w:rFonts w:ascii="仿宋_GB2312" w:hAnsi="宋体" w:eastAsia="仿宋_GB2312" w:cs="宋体"/>
          <w:w w:val="90"/>
          <w:sz w:val="24"/>
          <w:szCs w:val="24"/>
        </w:rPr>
        <w:t>政府采购严重违法失信行为记录名单</w:t>
      </w:r>
      <w:r>
        <w:rPr>
          <w:rFonts w:hint="eastAsia" w:ascii="仿宋_GB2312" w:hAnsi="宋体" w:eastAsia="仿宋_GB2312" w:cs="宋体"/>
          <w:w w:val="90"/>
          <w:sz w:val="24"/>
          <w:szCs w:val="24"/>
        </w:rPr>
        <w:t>。</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（9）没有被人民法院列入生效的失信被执行人名单。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（10）没有被列入安全生产不良记录名单。</w:t>
      </w:r>
    </w:p>
    <w:p>
      <w:pPr>
        <w:spacing w:line="500" w:lineRule="exact"/>
        <w:ind w:firstLine="831" w:firstLineChars="385"/>
        <w:rPr>
          <w:rFonts w:ascii="仿宋_GB2312" w:hAnsi="宋体" w:eastAsia="仿宋_GB2312" w:cs="宋体"/>
          <w:w w:val="90"/>
          <w:sz w:val="24"/>
          <w:szCs w:val="24"/>
        </w:rPr>
      </w:pPr>
      <w:r>
        <w:rPr>
          <w:rFonts w:hint="eastAsia" w:ascii="仿宋_GB2312" w:hAnsi="宋体" w:eastAsia="仿宋_GB2312" w:cs="宋体"/>
          <w:w w:val="90"/>
          <w:sz w:val="24"/>
          <w:szCs w:val="24"/>
        </w:rPr>
        <w:t>（11）没有被列入重大税收违法案件当事人名单</w:t>
      </w:r>
    </w:p>
    <w:p>
      <w:pPr>
        <w:spacing w:line="54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3．最近三年投标货物（服务）在国内主要用户的名称和地址：</w:t>
      </w:r>
    </w:p>
    <w:tbl>
      <w:tblPr>
        <w:tblStyle w:val="27"/>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用户名称和地址</w:t>
            </w:r>
          </w:p>
        </w:tc>
        <w:tc>
          <w:tcPr>
            <w:tcW w:w="2299"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销售货物（服务）名称、规格</w:t>
            </w:r>
          </w:p>
        </w:tc>
        <w:tc>
          <w:tcPr>
            <w:tcW w:w="1045"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数量</w:t>
            </w:r>
          </w:p>
        </w:tc>
        <w:tc>
          <w:tcPr>
            <w:tcW w:w="1463"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交货日期</w:t>
            </w:r>
          </w:p>
        </w:tc>
        <w:tc>
          <w:tcPr>
            <w:tcW w:w="1404" w:type="dxa"/>
            <w:vAlign w:val="center"/>
          </w:tcPr>
          <w:p>
            <w:pPr>
              <w:spacing w:line="54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70" w:type="dxa"/>
            <w:vAlign w:val="center"/>
          </w:tcPr>
          <w:p>
            <w:pPr>
              <w:spacing w:line="540" w:lineRule="exact"/>
              <w:jc w:val="center"/>
              <w:rPr>
                <w:rFonts w:ascii="仿宋_GB2312" w:hAnsi="宋体" w:eastAsia="仿宋_GB2312" w:cs="宋体"/>
                <w:w w:val="90"/>
                <w:sz w:val="24"/>
                <w:szCs w:val="24"/>
              </w:rPr>
            </w:pPr>
          </w:p>
        </w:tc>
        <w:tc>
          <w:tcPr>
            <w:tcW w:w="2299" w:type="dxa"/>
            <w:vAlign w:val="center"/>
          </w:tcPr>
          <w:p>
            <w:pPr>
              <w:spacing w:line="540" w:lineRule="exact"/>
              <w:jc w:val="center"/>
              <w:rPr>
                <w:rFonts w:ascii="仿宋_GB2312" w:hAnsi="宋体" w:eastAsia="仿宋_GB2312" w:cs="宋体"/>
                <w:w w:val="90"/>
                <w:sz w:val="24"/>
                <w:szCs w:val="24"/>
              </w:rPr>
            </w:pPr>
          </w:p>
        </w:tc>
        <w:tc>
          <w:tcPr>
            <w:tcW w:w="1045" w:type="dxa"/>
            <w:vAlign w:val="center"/>
          </w:tcPr>
          <w:p>
            <w:pPr>
              <w:spacing w:line="540" w:lineRule="exact"/>
              <w:jc w:val="center"/>
              <w:rPr>
                <w:rFonts w:ascii="仿宋_GB2312" w:hAnsi="宋体" w:eastAsia="仿宋_GB2312" w:cs="宋体"/>
                <w:w w:val="90"/>
                <w:sz w:val="24"/>
                <w:szCs w:val="24"/>
              </w:rPr>
            </w:pPr>
          </w:p>
        </w:tc>
        <w:tc>
          <w:tcPr>
            <w:tcW w:w="1463" w:type="dxa"/>
            <w:vAlign w:val="center"/>
          </w:tcPr>
          <w:p>
            <w:pPr>
              <w:spacing w:line="540" w:lineRule="exact"/>
              <w:jc w:val="center"/>
              <w:rPr>
                <w:rFonts w:ascii="仿宋_GB2312" w:hAnsi="宋体" w:eastAsia="仿宋_GB2312" w:cs="宋体"/>
                <w:w w:val="90"/>
                <w:sz w:val="24"/>
                <w:szCs w:val="24"/>
              </w:rPr>
            </w:pPr>
          </w:p>
        </w:tc>
        <w:tc>
          <w:tcPr>
            <w:tcW w:w="1404" w:type="dxa"/>
            <w:vAlign w:val="center"/>
          </w:tcPr>
          <w:p>
            <w:pPr>
              <w:spacing w:line="540" w:lineRule="exact"/>
              <w:jc w:val="center"/>
              <w:rPr>
                <w:rFonts w:ascii="仿宋_GB2312" w:hAnsi="宋体" w:eastAsia="仿宋_GB2312" w:cs="宋体"/>
                <w:w w:val="90"/>
                <w:sz w:val="24"/>
                <w:szCs w:val="24"/>
              </w:rPr>
            </w:pPr>
          </w:p>
        </w:tc>
      </w:tr>
    </w:tbl>
    <w:p>
      <w:pPr>
        <w:spacing w:line="540" w:lineRule="exact"/>
        <w:ind w:firstLine="540" w:firstLineChars="250"/>
        <w:rPr>
          <w:rFonts w:ascii="仿宋_GB2312" w:hAnsi="宋体" w:eastAsia="仿宋_GB2312" w:cs="宋体"/>
          <w:w w:val="90"/>
          <w:sz w:val="24"/>
          <w:szCs w:val="24"/>
        </w:rPr>
      </w:pPr>
      <w:r>
        <w:rPr>
          <w:rFonts w:hint="eastAsia" w:ascii="仿宋_GB2312" w:hAnsi="宋体" w:eastAsia="仿宋_GB2312" w:cs="宋体"/>
          <w:w w:val="90"/>
          <w:sz w:val="24"/>
          <w:szCs w:val="24"/>
        </w:rPr>
        <w:t>4. 法人营业执照副本、税务登记证副本等见附件。</w:t>
      </w:r>
    </w:p>
    <w:p>
      <w:pPr>
        <w:spacing w:line="540" w:lineRule="exact"/>
        <w:jc w:val="center"/>
        <w:rPr>
          <w:rFonts w:ascii="仿宋_GB2312" w:hAnsi="宋体" w:eastAsia="仿宋_GB2312" w:cs="宋体"/>
          <w:w w:val="90"/>
          <w:sz w:val="24"/>
          <w:szCs w:val="24"/>
        </w:rPr>
      </w:pPr>
    </w:p>
    <w:p>
      <w:pPr>
        <w:spacing w:line="54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就我方全部所知，兹证明上述声明是真实、正确的，并已提供了全部现有资料和数据，我方同意根据贵方要求出示文件予以证实。</w:t>
      </w:r>
    </w:p>
    <w:p>
      <w:pPr>
        <w:spacing w:line="540" w:lineRule="exact"/>
        <w:jc w:val="center"/>
        <w:rPr>
          <w:rFonts w:ascii="仿宋_GB2312" w:hAnsi="宋体" w:eastAsia="仿宋_GB2312" w:cs="宋体"/>
          <w:w w:val="90"/>
          <w:sz w:val="24"/>
          <w:szCs w:val="24"/>
        </w:rPr>
      </w:pPr>
    </w:p>
    <w:p>
      <w:pPr>
        <w:spacing w:line="54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bookmarkStart w:id="225" w:name="_Toc225312843"/>
      <w:bookmarkStart w:id="226" w:name="_Toc279482451"/>
      <w:bookmarkStart w:id="227" w:name="_Toc277925742"/>
      <w:r>
        <w:rPr>
          <w:rFonts w:hint="eastAsia" w:ascii="仿宋_GB2312" w:hAnsi="宋体" w:eastAsia="仿宋_GB2312" w:cs="宋体"/>
          <w:w w:val="90"/>
          <w:sz w:val="24"/>
          <w:szCs w:val="24"/>
        </w:rPr>
        <w:t>投标人（盖公章）：</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邮     编：</w:t>
      </w:r>
    </w:p>
    <w:p>
      <w:pPr>
        <w:spacing w:line="500" w:lineRule="exact"/>
        <w:rPr>
          <w:rFonts w:ascii="仿宋_GB2312" w:hAnsi="宋体" w:eastAsia="仿宋_GB2312" w:cs="宋体"/>
          <w:sz w:val="24"/>
          <w:szCs w:val="24"/>
        </w:rPr>
      </w:pPr>
      <w:r>
        <w:rPr>
          <w:rFonts w:hint="eastAsia" w:ascii="仿宋_GB2312" w:hAnsi="宋体" w:eastAsia="仿宋_GB2312" w:cs="宋体"/>
          <w:w w:val="90"/>
          <w:sz w:val="24"/>
          <w:szCs w:val="24"/>
        </w:rPr>
        <w:t>电 话/传 真：</w:t>
      </w:r>
    </w:p>
    <w:p>
      <w:pPr>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outlineLvl w:val="2"/>
        <w:rPr>
          <w:rFonts w:ascii="仿宋_GB2312" w:hAnsi="宋体" w:eastAsia="仿宋_GB2312" w:cs="宋体"/>
          <w:b/>
          <w:w w:val="90"/>
          <w:sz w:val="36"/>
          <w:szCs w:val="36"/>
        </w:rPr>
      </w:pPr>
      <w:bookmarkStart w:id="228" w:name="_Toc421861363"/>
      <w:bookmarkStart w:id="229" w:name="_Toc421861176"/>
      <w:bookmarkStart w:id="230" w:name="_Toc377051066"/>
      <w:r>
        <w:rPr>
          <w:rFonts w:hint="eastAsia" w:ascii="仿宋_GB2312" w:hAnsi="宋体" w:eastAsia="仿宋_GB2312" w:cs="宋体"/>
          <w:b/>
          <w:w w:val="90"/>
          <w:sz w:val="36"/>
          <w:szCs w:val="36"/>
        </w:rPr>
        <w:t>法定代表人授权书</w:t>
      </w:r>
      <w:bookmarkEnd w:id="225"/>
      <w:bookmarkEnd w:id="226"/>
      <w:bookmarkEnd w:id="227"/>
      <w:bookmarkEnd w:id="228"/>
      <w:bookmarkEnd w:id="229"/>
      <w:bookmarkEnd w:id="230"/>
    </w:p>
    <w:p>
      <w:pPr>
        <w:pStyle w:val="16"/>
        <w:snapToGrid w:val="0"/>
        <w:jc w:val="center"/>
        <w:rPr>
          <w:rFonts w:ascii="仿宋_GB2312" w:hAnsi="宋体" w:eastAsia="仿宋_GB2312" w:cs="宋体"/>
          <w:sz w:val="24"/>
          <w:szCs w:val="24"/>
        </w:rPr>
      </w:pPr>
    </w:p>
    <w:p>
      <w:pPr>
        <w:pStyle w:val="16"/>
        <w:snapToGrid w:val="0"/>
        <w:spacing w:line="52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福建元丰招标有限公司：</w:t>
      </w:r>
    </w:p>
    <w:p>
      <w:pPr>
        <w:pStyle w:val="16"/>
        <w:snapToGrid w:val="0"/>
        <w:spacing w:line="520" w:lineRule="exact"/>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u w:val="single"/>
        </w:rPr>
        <w:t xml:space="preserve">（投标人全称）        </w:t>
      </w:r>
      <w:r>
        <w:rPr>
          <w:rFonts w:hint="eastAsia" w:ascii="仿宋_GB2312" w:hAnsi="宋体" w:eastAsia="仿宋_GB2312" w:cs="宋体"/>
          <w:w w:val="90"/>
          <w:sz w:val="24"/>
          <w:szCs w:val="24"/>
        </w:rPr>
        <w:t>法定代表人（法定代表人的名字应与工商营业执照登记的一致）授权</w:t>
      </w:r>
      <w:r>
        <w:rPr>
          <w:rFonts w:hint="eastAsia" w:ascii="仿宋_GB2312" w:hAnsi="宋体" w:eastAsia="仿宋_GB2312" w:cs="宋体"/>
          <w:w w:val="90"/>
          <w:sz w:val="24"/>
          <w:szCs w:val="24"/>
          <w:u w:val="single"/>
        </w:rPr>
        <w:t xml:space="preserve">（投标人代表姓名）      </w:t>
      </w:r>
      <w:r>
        <w:rPr>
          <w:rFonts w:hint="eastAsia" w:ascii="仿宋_GB2312" w:hAnsi="宋体" w:eastAsia="仿宋_GB2312" w:cs="宋体"/>
          <w:w w:val="90"/>
          <w:sz w:val="24"/>
          <w:szCs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16"/>
        <w:snapToGrid w:val="0"/>
        <w:spacing w:line="520" w:lineRule="exact"/>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rPr>
        <w:t>本授权书自出具之日起生效。</w:t>
      </w:r>
    </w:p>
    <w:p>
      <w:pPr>
        <w:spacing w:line="520" w:lineRule="exact"/>
        <w:jc w:val="center"/>
        <w:rPr>
          <w:rFonts w:ascii="仿宋_GB2312" w:hAnsi="宋体" w:eastAsia="仿宋_GB2312" w:cs="宋体"/>
          <w:w w:val="90"/>
          <w:sz w:val="24"/>
          <w:szCs w:val="24"/>
        </w:rPr>
      </w:pP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   性 别：  身份证号：</w:t>
      </w: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单 位：   部 门：  职 务：</w:t>
      </w: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详细通讯地址：   邮政编码:  电 话：</w:t>
      </w:r>
    </w:p>
    <w:p>
      <w:pPr>
        <w:adjustRightInd w:val="0"/>
        <w:snapToGrid w:val="0"/>
        <w:spacing w:line="520" w:lineRule="exact"/>
        <w:jc w:val="center"/>
        <w:rPr>
          <w:rFonts w:ascii="仿宋_GB2312" w:hAnsi="宋体" w:eastAsia="仿宋_GB2312" w:cs="宋体"/>
          <w:w w:val="90"/>
          <w:sz w:val="24"/>
          <w:szCs w:val="24"/>
        </w:rPr>
      </w:pPr>
    </w:p>
    <w:tbl>
      <w:tblPr>
        <w:tblStyle w:val="27"/>
        <w:tblW w:w="95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9527" w:type="dxa"/>
          </w:tcPr>
          <w:p>
            <w:pPr>
              <w:adjustRightInd w:val="0"/>
              <w:snapToGrid w:val="0"/>
              <w:spacing w:line="520" w:lineRule="exact"/>
              <w:ind w:left="180"/>
              <w:rPr>
                <w:rFonts w:ascii="仿宋_GB2312" w:hAnsi="宋体" w:eastAsia="仿宋_GB2312" w:cs="宋体"/>
                <w:w w:val="90"/>
                <w:sz w:val="24"/>
                <w:szCs w:val="24"/>
              </w:rPr>
            </w:pPr>
            <w:r>
              <w:rPr>
                <w:rFonts w:hint="eastAsia" w:ascii="仿宋_GB2312" w:hAnsi="宋体" w:eastAsia="仿宋_GB2312" w:cs="宋体"/>
                <w:w w:val="90"/>
                <w:sz w:val="24"/>
                <w:szCs w:val="24"/>
              </w:rPr>
              <w:t>附：被授权人合格有效的身份证正、背面复印件</w:t>
            </w: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jc w:val="center"/>
              <w:rPr>
                <w:rFonts w:ascii="仿宋_GB2312" w:hAnsi="宋体" w:eastAsia="仿宋_GB2312" w:cs="宋体"/>
                <w:w w:val="90"/>
                <w:sz w:val="24"/>
                <w:szCs w:val="24"/>
              </w:rPr>
            </w:pPr>
          </w:p>
        </w:tc>
      </w:tr>
    </w:tbl>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授权方</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adjustRightInd w:val="0"/>
        <w:snapToGrid w:val="0"/>
        <w:spacing w:line="520" w:lineRule="exact"/>
        <w:ind w:firstLine="324" w:firstLineChars="150"/>
        <w:rPr>
          <w:rFonts w:ascii="仿宋_GB2312" w:hAnsi="宋体" w:eastAsia="仿宋_GB2312" w:cs="宋体"/>
          <w:w w:val="90"/>
          <w:sz w:val="24"/>
          <w:szCs w:val="24"/>
        </w:rPr>
      </w:pPr>
      <w:r>
        <w:rPr>
          <w:rFonts w:hint="eastAsia" w:ascii="仿宋_GB2312" w:hAnsi="宋体" w:eastAsia="仿宋_GB2312" w:cs="宋体"/>
          <w:w w:val="90"/>
          <w:sz w:val="24"/>
          <w:szCs w:val="24"/>
        </w:rPr>
        <w:t xml:space="preserve"> 法定代表人（签字或盖章）：</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adjustRightInd w:val="0"/>
        <w:snapToGrid w:val="0"/>
        <w:spacing w:line="520" w:lineRule="exact"/>
        <w:jc w:val="center"/>
        <w:rPr>
          <w:rFonts w:ascii="仿宋_GB2312" w:hAnsi="宋体" w:eastAsia="仿宋_GB2312" w:cs="宋体"/>
          <w:w w:val="90"/>
          <w:sz w:val="24"/>
          <w:szCs w:val="24"/>
        </w:rPr>
      </w:pPr>
    </w:p>
    <w:p>
      <w:pPr>
        <w:adjustRightInd w:val="0"/>
        <w:snapToGrid w:val="0"/>
        <w:spacing w:line="520" w:lineRule="exact"/>
        <w:rPr>
          <w:rFonts w:ascii="仿宋_GB2312" w:hAnsi="宋体" w:eastAsia="仿宋_GB2312" w:cs="宋体"/>
          <w:w w:val="90"/>
          <w:sz w:val="24"/>
          <w:szCs w:val="24"/>
        </w:rPr>
      </w:pPr>
      <w:r>
        <w:rPr>
          <w:rFonts w:hint="eastAsia" w:ascii="仿宋_GB2312" w:hAnsi="宋体" w:eastAsia="仿宋_GB2312" w:cs="宋体"/>
          <w:w w:val="90"/>
          <w:sz w:val="24"/>
          <w:szCs w:val="24"/>
        </w:rPr>
        <w:t>接受授权方</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adjustRightInd w:val="0"/>
        <w:snapToGrid w:val="0"/>
        <w:spacing w:line="52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日   期：年月日</w:t>
      </w:r>
    </w:p>
    <w:p>
      <w:pPr>
        <w:spacing w:line="500" w:lineRule="exact"/>
        <w:jc w:val="center"/>
        <w:outlineLvl w:val="2"/>
        <w:rPr>
          <w:rFonts w:ascii="仿宋_GB2312" w:hAnsi="宋体" w:eastAsia="仿宋_GB2312" w:cs="宋体"/>
          <w:w w:val="90"/>
          <w:sz w:val="24"/>
          <w:szCs w:val="24"/>
        </w:rPr>
      </w:pPr>
      <w:bookmarkStart w:id="231" w:name="_Toc225312844"/>
      <w:r>
        <w:rPr>
          <w:rFonts w:hint="eastAsia" w:ascii="仿宋_GB2312" w:hAnsi="宋体" w:eastAsia="仿宋_GB2312" w:cs="宋体"/>
          <w:w w:val="90"/>
          <w:sz w:val="24"/>
          <w:szCs w:val="24"/>
        </w:rPr>
        <w:br w:type="page"/>
      </w:r>
      <w:bookmarkStart w:id="232" w:name="_Toc279482452"/>
      <w:bookmarkStart w:id="233" w:name="_Toc277925743"/>
    </w:p>
    <w:p>
      <w:pPr>
        <w:spacing w:line="500" w:lineRule="exact"/>
        <w:jc w:val="center"/>
        <w:outlineLvl w:val="2"/>
        <w:rPr>
          <w:rFonts w:ascii="仿宋_GB2312" w:hAnsi="宋体" w:eastAsia="仿宋_GB2312" w:cs="宋体"/>
          <w:b/>
          <w:sz w:val="36"/>
          <w:szCs w:val="36"/>
        </w:rPr>
      </w:pPr>
      <w:bookmarkStart w:id="234" w:name="_Toc421861177"/>
      <w:bookmarkStart w:id="235" w:name="_Toc377051067"/>
      <w:bookmarkStart w:id="236" w:name="_Toc421861364"/>
      <w:r>
        <w:rPr>
          <w:rFonts w:hint="eastAsia" w:ascii="仿宋_GB2312" w:hAnsi="宋体" w:eastAsia="仿宋_GB2312" w:cs="宋体"/>
          <w:b/>
          <w:w w:val="90"/>
          <w:sz w:val="36"/>
          <w:szCs w:val="36"/>
        </w:rPr>
        <w:t>法人营业执照、税务登记证</w:t>
      </w:r>
      <w:bookmarkEnd w:id="231"/>
      <w:bookmarkEnd w:id="232"/>
      <w:bookmarkEnd w:id="233"/>
      <w:bookmarkEnd w:id="234"/>
      <w:bookmarkEnd w:id="235"/>
      <w:bookmarkEnd w:id="236"/>
    </w:p>
    <w:p>
      <w:pPr>
        <w:spacing w:line="500" w:lineRule="exact"/>
        <w:jc w:val="center"/>
        <w:rPr>
          <w:rFonts w:ascii="仿宋_GB2312" w:hAnsi="宋体" w:eastAsia="仿宋_GB2312" w:cs="宋体"/>
          <w:w w:val="90"/>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福建元丰招标有限公司：</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现附上由（签发机关名称）签发的我方法人营业执照复印件，该执照业真实有效。</w:t>
      </w:r>
    </w:p>
    <w:p>
      <w:pPr>
        <w:spacing w:line="500" w:lineRule="exact"/>
        <w:ind w:firstLine="432" w:firstLineChars="200"/>
        <w:rPr>
          <w:rFonts w:ascii="仿宋_GB2312" w:hAnsi="宋体" w:eastAsia="仿宋_GB2312" w:cs="宋体"/>
          <w:w w:val="90"/>
          <w:sz w:val="24"/>
          <w:szCs w:val="24"/>
        </w:rPr>
      </w:pPr>
      <w:r>
        <w:rPr>
          <w:rFonts w:hint="eastAsia" w:ascii="仿宋_GB2312" w:hAnsi="宋体" w:eastAsia="仿宋_GB2312" w:cs="宋体"/>
          <w:w w:val="90"/>
          <w:sz w:val="24"/>
          <w:szCs w:val="24"/>
        </w:rPr>
        <w:t>现附上由</w:t>
      </w:r>
      <w:r>
        <w:rPr>
          <w:rFonts w:hint="eastAsia" w:ascii="仿宋_GB2312" w:hAnsi="宋体" w:eastAsia="仿宋_GB2312" w:cs="宋体"/>
          <w:w w:val="90"/>
          <w:sz w:val="24"/>
          <w:szCs w:val="24"/>
          <w:u w:val="single"/>
        </w:rPr>
        <w:t xml:space="preserve">                           （</w:t>
      </w:r>
      <w:r>
        <w:rPr>
          <w:rFonts w:hint="eastAsia" w:ascii="仿宋_GB2312" w:hAnsi="宋体" w:eastAsia="仿宋_GB2312" w:cs="宋体"/>
          <w:w w:val="90"/>
          <w:sz w:val="24"/>
          <w:szCs w:val="24"/>
        </w:rPr>
        <w:t>签发机关名称）签发的我方税务登记证复印件，该证件已经真实有效。</w:t>
      </w:r>
    </w:p>
    <w:p>
      <w:pPr>
        <w:pStyle w:val="9"/>
        <w:spacing w:line="500" w:lineRule="exact"/>
        <w:ind w:firstLine="432" w:firstLineChars="200"/>
        <w:rPr>
          <w:rFonts w:ascii="仿宋_GB2312" w:hAnsi="宋体" w:eastAsia="仿宋_GB2312" w:cs="宋体"/>
          <w:w w:val="90"/>
          <w:sz w:val="24"/>
          <w:szCs w:val="24"/>
          <w:u w:val="single"/>
        </w:rPr>
      </w:pPr>
      <w:r>
        <w:rPr>
          <w:rFonts w:hint="eastAsia" w:ascii="仿宋_GB2312" w:hAnsi="宋体" w:eastAsia="仿宋_GB2312" w:cs="宋体"/>
          <w:w w:val="90"/>
          <w:sz w:val="24"/>
          <w:szCs w:val="24"/>
          <w:u w:val="single"/>
        </w:rPr>
        <w:t>其它证照按以上形式填写！</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bookmarkStart w:id="237" w:name="_Toc273632685"/>
    </w:p>
    <w:bookmarkEnd w:id="237"/>
    <w:p>
      <w:pPr>
        <w:spacing w:line="500" w:lineRule="exact"/>
        <w:jc w:val="center"/>
        <w:outlineLvl w:val="2"/>
        <w:rPr>
          <w:rFonts w:ascii="仿宋_GB2312" w:hAnsi="宋体" w:eastAsia="仿宋_GB2312" w:cs="宋体"/>
          <w:b/>
          <w:w w:val="90"/>
          <w:sz w:val="24"/>
          <w:szCs w:val="24"/>
        </w:rPr>
      </w:pPr>
      <w:bookmarkStart w:id="238" w:name="_Toc277925745"/>
      <w:bookmarkStart w:id="239" w:name="_Toc225312846"/>
      <w:bookmarkStart w:id="240" w:name="_Toc279482453"/>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p>
      <w:pPr>
        <w:spacing w:line="500" w:lineRule="exact"/>
        <w:jc w:val="center"/>
        <w:outlineLvl w:val="2"/>
        <w:rPr>
          <w:rFonts w:ascii="仿宋_GB2312" w:hAnsi="宋体" w:eastAsia="仿宋_GB2312" w:cs="宋体"/>
          <w:b/>
          <w:w w:val="90"/>
          <w:sz w:val="24"/>
          <w:szCs w:val="24"/>
        </w:rPr>
      </w:pPr>
    </w:p>
    <w:bookmarkEnd w:id="238"/>
    <w:bookmarkEnd w:id="239"/>
    <w:bookmarkEnd w:id="240"/>
    <w:p>
      <w:pPr>
        <w:spacing w:line="500" w:lineRule="exact"/>
        <w:jc w:val="center"/>
        <w:outlineLvl w:val="2"/>
        <w:rPr>
          <w:rFonts w:ascii="仿宋_GB2312" w:hAnsi="宋体" w:eastAsia="仿宋_GB2312" w:cs="宋体"/>
          <w:b/>
          <w:w w:val="90"/>
          <w:sz w:val="36"/>
          <w:szCs w:val="36"/>
        </w:rPr>
      </w:pPr>
      <w:bookmarkStart w:id="241" w:name="_Toc377051068"/>
      <w:bookmarkStart w:id="242" w:name="_Toc421861178"/>
      <w:bookmarkStart w:id="243" w:name="_Toc421861365"/>
      <w:r>
        <w:rPr>
          <w:rFonts w:hint="eastAsia" w:ascii="仿宋_GB2312" w:hAnsi="宋体" w:eastAsia="仿宋_GB2312" w:cs="宋体"/>
          <w:b/>
          <w:w w:val="90"/>
          <w:sz w:val="36"/>
          <w:szCs w:val="36"/>
        </w:rPr>
        <w:t>服务与商务应答</w:t>
      </w:r>
      <w:bookmarkEnd w:id="241"/>
      <w:bookmarkEnd w:id="242"/>
      <w:bookmarkEnd w:id="243"/>
    </w:p>
    <w:p>
      <w:pPr>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应答内容：</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一、投标人除了根据招标文件第二部分要求详细回答外。还需提供以下应答：</w:t>
      </w:r>
    </w:p>
    <w:p>
      <w:pPr>
        <w:tabs>
          <w:tab w:val="left" w:pos="5355"/>
        </w:tabs>
        <w:spacing w:line="500" w:lineRule="exact"/>
        <w:jc w:val="center"/>
        <w:rPr>
          <w:rFonts w:ascii="仿宋_GB2312" w:hAnsi="宋体" w:eastAsia="仿宋_GB2312" w:cs="宋体"/>
          <w:sz w:val="24"/>
          <w:szCs w:val="24"/>
        </w:rPr>
      </w:pP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１.技术服务（含培训承诺）</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２.质量保证条款</w:t>
      </w:r>
    </w:p>
    <w:p>
      <w:pPr>
        <w:spacing w:line="500" w:lineRule="exact"/>
        <w:rPr>
          <w:rFonts w:ascii="仿宋_GB2312" w:hAnsi="宋体" w:eastAsia="仿宋_GB2312" w:cs="宋体"/>
          <w:w w:val="90"/>
          <w:sz w:val="24"/>
          <w:szCs w:val="24"/>
        </w:rPr>
      </w:pPr>
      <w:r>
        <w:rPr>
          <w:rFonts w:hint="eastAsia" w:ascii="仿宋_GB2312" w:hAnsi="宋体" w:eastAsia="仿宋_GB2312" w:cs="宋体"/>
          <w:w w:val="90"/>
          <w:sz w:val="24"/>
          <w:szCs w:val="24"/>
        </w:rPr>
        <w:t>３.售后服务承诺</w:t>
      </w: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tabs>
          <w:tab w:val="left" w:pos="5355"/>
        </w:tabs>
        <w:spacing w:line="500" w:lineRule="exact"/>
        <w:jc w:val="center"/>
        <w:rPr>
          <w:rFonts w:ascii="仿宋_GB2312" w:hAnsi="宋体" w:eastAsia="仿宋_GB2312" w:cs="宋体"/>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jc w:val="center"/>
        <w:outlineLvl w:val="1"/>
        <w:rPr>
          <w:rFonts w:ascii="仿宋_GB2312" w:hAnsi="宋体" w:eastAsia="仿宋_GB2312" w:cs="宋体"/>
          <w:b/>
          <w:sz w:val="24"/>
          <w:szCs w:val="24"/>
        </w:rPr>
      </w:pPr>
      <w:r>
        <w:rPr>
          <w:rFonts w:hint="eastAsia" w:ascii="仿宋_GB2312" w:hAnsi="宋体" w:eastAsia="仿宋_GB2312" w:cs="宋体"/>
          <w:b/>
          <w:sz w:val="24"/>
          <w:szCs w:val="24"/>
        </w:rPr>
        <w:br w:type="page"/>
      </w:r>
      <w:bookmarkStart w:id="244" w:name="_Toc277925746"/>
      <w:bookmarkStart w:id="245" w:name="_Toc225312847"/>
      <w:bookmarkStart w:id="246" w:name="_Toc279482454"/>
    </w:p>
    <w:p>
      <w:pPr>
        <w:spacing w:line="500" w:lineRule="exact"/>
        <w:jc w:val="center"/>
        <w:outlineLvl w:val="2"/>
        <w:rPr>
          <w:rFonts w:ascii="仿宋_GB2312" w:hAnsi="宋体" w:eastAsia="仿宋_GB2312" w:cs="宋体"/>
          <w:b/>
          <w:w w:val="90"/>
          <w:sz w:val="36"/>
          <w:szCs w:val="36"/>
        </w:rPr>
      </w:pPr>
      <w:bookmarkStart w:id="247" w:name="_Toc421861179"/>
      <w:bookmarkStart w:id="248" w:name="_Toc421861366"/>
      <w:bookmarkStart w:id="249" w:name="_Toc377051069"/>
      <w:r>
        <w:rPr>
          <w:rFonts w:hint="eastAsia" w:ascii="仿宋_GB2312" w:hAnsi="宋体" w:eastAsia="仿宋_GB2312" w:cs="宋体"/>
          <w:b/>
          <w:w w:val="90"/>
          <w:sz w:val="36"/>
          <w:szCs w:val="36"/>
        </w:rPr>
        <w:t>投标人提交的其它资料</w:t>
      </w:r>
      <w:bookmarkEnd w:id="244"/>
      <w:bookmarkEnd w:id="245"/>
      <w:bookmarkEnd w:id="246"/>
      <w:bookmarkEnd w:id="247"/>
      <w:bookmarkEnd w:id="248"/>
      <w:bookmarkEnd w:id="249"/>
    </w:p>
    <w:p>
      <w:pPr>
        <w:spacing w:line="500" w:lineRule="exact"/>
        <w:jc w:val="center"/>
        <w:outlineLvl w:val="2"/>
        <w:rPr>
          <w:rFonts w:ascii="仿宋_GB2312" w:hAnsi="宋体" w:eastAsia="仿宋_GB2312" w:cs="宋体"/>
          <w:b/>
          <w:w w:val="90"/>
          <w:sz w:val="36"/>
          <w:szCs w:val="36"/>
        </w:rPr>
      </w:pPr>
    </w:p>
    <w:p>
      <w:pPr>
        <w:spacing w:line="500" w:lineRule="exact"/>
        <w:jc w:val="center"/>
        <w:outlineLvl w:val="2"/>
        <w:rPr>
          <w:rFonts w:ascii="仿宋_GB2312" w:hAnsi="宋体" w:eastAsia="仿宋_GB2312" w:cs="宋体"/>
          <w:b/>
          <w:w w:val="90"/>
          <w:sz w:val="36"/>
          <w:szCs w:val="36"/>
        </w:rPr>
      </w:pPr>
      <w:bookmarkStart w:id="250" w:name="_Toc421861180"/>
      <w:bookmarkStart w:id="251" w:name="_Toc421861367"/>
      <w:bookmarkStart w:id="252" w:name="_Toc377051070"/>
      <w:r>
        <w:rPr>
          <w:rFonts w:hint="eastAsia" w:ascii="仿宋_GB2312" w:hAnsi="宋体" w:eastAsia="仿宋_GB2312" w:cs="宋体"/>
          <w:b/>
          <w:w w:val="90"/>
          <w:sz w:val="36"/>
          <w:szCs w:val="36"/>
        </w:rPr>
        <w:t>投标人对所投服务声明</w:t>
      </w:r>
      <w:bookmarkEnd w:id="250"/>
      <w:bookmarkEnd w:id="251"/>
      <w:bookmarkEnd w:id="252"/>
    </w:p>
    <w:p>
      <w:pPr>
        <w:spacing w:beforeLines="50" w:afterLines="50" w:line="500" w:lineRule="exact"/>
        <w:jc w:val="center"/>
        <w:rPr>
          <w:rFonts w:ascii="仿宋_GB2312" w:hAnsi="宋体" w:eastAsia="仿宋_GB2312" w:cs="宋体"/>
          <w:bCs/>
          <w:sz w:val="24"/>
          <w:szCs w:val="24"/>
        </w:rPr>
      </w:pPr>
    </w:p>
    <w:p>
      <w:pPr>
        <w:spacing w:beforeLines="50" w:afterLines="50" w:line="50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招标编号：</w:t>
      </w:r>
    </w:p>
    <w:p>
      <w:pPr>
        <w:spacing w:beforeLines="50" w:afterLines="50" w:line="500" w:lineRule="exact"/>
        <w:jc w:val="left"/>
        <w:rPr>
          <w:rFonts w:ascii="仿宋_GB2312" w:hAnsi="宋体" w:eastAsia="仿宋_GB2312" w:cs="宋体"/>
          <w:w w:val="90"/>
          <w:sz w:val="24"/>
          <w:szCs w:val="24"/>
        </w:rPr>
      </w:pPr>
      <w:r>
        <w:rPr>
          <w:rFonts w:hint="eastAsia" w:ascii="仿宋_GB2312" w:hAnsi="宋体" w:eastAsia="仿宋_GB2312" w:cs="宋体"/>
          <w:w w:val="90"/>
          <w:sz w:val="24"/>
          <w:szCs w:val="24"/>
        </w:rPr>
        <w:t>项目名称：</w:t>
      </w: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spacing w:beforeLines="50" w:afterLines="50" w:line="500" w:lineRule="exact"/>
        <w:jc w:val="center"/>
        <w:rPr>
          <w:rFonts w:ascii="仿宋_GB2312" w:hAnsi="宋体" w:eastAsia="仿宋_GB2312" w:cs="宋体"/>
          <w:w w:val="90"/>
          <w:sz w:val="24"/>
          <w:szCs w:val="24"/>
        </w:rPr>
      </w:pPr>
    </w:p>
    <w:p>
      <w:pPr>
        <w:ind w:firstLine="432" w:firstLineChars="200"/>
        <w:jc w:val="left"/>
        <w:rPr>
          <w:rFonts w:ascii="仿宋_GB2312" w:hAnsi="宋体" w:eastAsia="仿宋_GB2312" w:cs="宋体"/>
          <w:w w:val="90"/>
          <w:sz w:val="24"/>
          <w:szCs w:val="24"/>
        </w:rPr>
      </w:pPr>
      <w:r>
        <w:rPr>
          <w:rFonts w:hint="eastAsia" w:ascii="仿宋_GB2312" w:hAnsi="宋体" w:eastAsia="仿宋_GB2312" w:cs="宋体"/>
          <w:w w:val="90"/>
          <w:sz w:val="24"/>
          <w:szCs w:val="24"/>
        </w:rPr>
        <w:t>本投标人承诺以上内容真实有效。</w:t>
      </w: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spacing w:line="500" w:lineRule="exact"/>
        <w:jc w:val="center"/>
        <w:rPr>
          <w:rFonts w:ascii="仿宋_GB2312" w:hAnsi="宋体" w:eastAsia="仿宋_GB2312" w:cs="宋体"/>
          <w:w w:val="90"/>
          <w:sz w:val="24"/>
          <w:szCs w:val="24"/>
        </w:rPr>
      </w:pPr>
    </w:p>
    <w:p>
      <w:pPr>
        <w:tabs>
          <w:tab w:val="left" w:pos="5355"/>
        </w:tabs>
        <w:spacing w:line="500" w:lineRule="exact"/>
        <w:jc w:val="center"/>
        <w:outlineLvl w:val="2"/>
        <w:rPr>
          <w:rFonts w:ascii="仿宋_GB2312" w:hAnsi="宋体" w:eastAsia="仿宋_GB2312" w:cs="宋体"/>
          <w:b/>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rPr>
          <w:rFonts w:ascii="仿宋_GB2312" w:hAnsi="宋体" w:eastAsia="仿宋_GB2312" w:cs="宋体"/>
          <w:b/>
          <w:sz w:val="24"/>
          <w:szCs w:val="24"/>
        </w:rPr>
      </w:pPr>
      <w:bookmarkStart w:id="253" w:name="_Toc277925747"/>
      <w:bookmarkStart w:id="254" w:name="_Toc279482455"/>
    </w:p>
    <w:p>
      <w:pPr>
        <w:rPr>
          <w:rFonts w:ascii="仿宋_GB2312" w:hAnsi="宋体" w:eastAsia="仿宋_GB2312" w:cs="宋体"/>
          <w:b/>
          <w:sz w:val="24"/>
          <w:szCs w:val="24"/>
        </w:rPr>
      </w:pPr>
    </w:p>
    <w:p>
      <w:pPr>
        <w:spacing w:line="500" w:lineRule="exact"/>
        <w:jc w:val="center"/>
        <w:outlineLvl w:val="2"/>
        <w:rPr>
          <w:rFonts w:ascii="仿宋_GB2312" w:hAnsi="宋体" w:eastAsia="仿宋_GB2312" w:cs="宋体"/>
          <w:b/>
          <w:w w:val="90"/>
          <w:sz w:val="36"/>
          <w:szCs w:val="36"/>
        </w:rPr>
      </w:pPr>
      <w:bookmarkStart w:id="255" w:name="_Toc421861368"/>
      <w:bookmarkStart w:id="256" w:name="_Toc421861181"/>
      <w:bookmarkStart w:id="257" w:name="_Toc377051071"/>
      <w:r>
        <w:rPr>
          <w:rFonts w:hint="eastAsia" w:ascii="仿宋_GB2312" w:hAnsi="宋体" w:eastAsia="仿宋_GB2312" w:cs="宋体"/>
          <w:b/>
          <w:w w:val="90"/>
          <w:sz w:val="36"/>
          <w:szCs w:val="36"/>
        </w:rPr>
        <w:t>其它材料</w:t>
      </w:r>
      <w:bookmarkEnd w:id="253"/>
      <w:bookmarkEnd w:id="254"/>
      <w:bookmarkEnd w:id="255"/>
      <w:bookmarkEnd w:id="256"/>
      <w:bookmarkEnd w:id="257"/>
    </w:p>
    <w:p>
      <w:pPr>
        <w:spacing w:line="500" w:lineRule="exact"/>
        <w:jc w:val="center"/>
        <w:rPr>
          <w:rFonts w:ascii="仿宋_GB2312" w:hAnsi="宋体" w:eastAsia="仿宋_GB2312" w:cs="宋体"/>
          <w:w w:val="90"/>
          <w:sz w:val="24"/>
          <w:szCs w:val="24"/>
        </w:rPr>
      </w:pPr>
    </w:p>
    <w:p>
      <w:pPr>
        <w:spacing w:line="500" w:lineRule="exact"/>
        <w:jc w:val="center"/>
        <w:rPr>
          <w:rFonts w:ascii="仿宋_GB2312" w:hAnsi="宋体" w:eastAsia="仿宋_GB2312" w:cs="宋体"/>
          <w:w w:val="90"/>
          <w:sz w:val="24"/>
          <w:szCs w:val="24"/>
        </w:rPr>
      </w:pPr>
      <w:r>
        <w:rPr>
          <w:rFonts w:hint="eastAsia" w:ascii="仿宋_GB2312" w:hAnsi="宋体" w:eastAsia="仿宋_GB2312" w:cs="宋体"/>
          <w:w w:val="90"/>
          <w:sz w:val="24"/>
          <w:szCs w:val="24"/>
        </w:rPr>
        <w:t>（投标人认为有必要提交的其他材料可在此附件中提交）</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投标人（盖公章）：</w:t>
      </w:r>
    </w:p>
    <w:p>
      <w:pPr>
        <w:spacing w:line="600" w:lineRule="exact"/>
        <w:rPr>
          <w:rFonts w:ascii="仿宋_GB2312" w:hAnsi="宋体" w:eastAsia="仿宋_GB2312" w:cs="宋体"/>
          <w:w w:val="90"/>
          <w:sz w:val="24"/>
          <w:szCs w:val="24"/>
        </w:rPr>
      </w:pPr>
      <w:r>
        <w:rPr>
          <w:rFonts w:hint="eastAsia" w:ascii="仿宋_GB2312" w:hAnsi="宋体" w:eastAsia="仿宋_GB2312" w:cs="宋体"/>
          <w:w w:val="90"/>
          <w:sz w:val="24"/>
          <w:szCs w:val="24"/>
        </w:rPr>
        <w:t>投标人代表（签字）：</w:t>
      </w:r>
    </w:p>
    <w:p>
      <w:pPr>
        <w:spacing w:line="600" w:lineRule="exact"/>
        <w:rPr>
          <w:rFonts w:ascii="仿宋_GB2312" w:hAnsi="宋体" w:eastAsia="仿宋_GB2312" w:cs="宋体"/>
          <w:sz w:val="24"/>
          <w:szCs w:val="24"/>
        </w:rPr>
      </w:pPr>
      <w:r>
        <w:rPr>
          <w:rFonts w:hint="eastAsia" w:ascii="仿宋_GB2312" w:hAnsi="宋体" w:eastAsia="仿宋_GB2312" w:cs="宋体"/>
          <w:w w:val="90"/>
          <w:sz w:val="24"/>
          <w:szCs w:val="24"/>
        </w:rPr>
        <w:t>日      期：年月日</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八、招标服务费承诺书</w:t>
      </w:r>
    </w:p>
    <w:p>
      <w:pPr>
        <w:pStyle w:val="68"/>
        <w:rPr>
          <w:rFonts w:ascii="仿宋_GB2312" w:hAnsi="宋体" w:eastAsia="仿宋_GB2312" w:cs="宋体"/>
          <w:sz w:val="24"/>
          <w:szCs w:val="24"/>
        </w:rPr>
      </w:pPr>
    </w:p>
    <w:p>
      <w:pPr>
        <w:spacing w:line="500" w:lineRule="exact"/>
        <w:rPr>
          <w:rFonts w:ascii="仿宋_GB2312" w:hAnsi="宋体" w:eastAsia="仿宋_GB2312" w:cs="宋体"/>
          <w:sz w:val="24"/>
          <w:szCs w:val="24"/>
        </w:rPr>
      </w:pPr>
      <w:r>
        <w:rPr>
          <w:rFonts w:hint="eastAsia" w:ascii="仿宋_GB2312" w:hAnsi="宋体" w:eastAsia="仿宋_GB2312" w:cs="宋体"/>
          <w:sz w:val="24"/>
          <w:szCs w:val="24"/>
          <w:u w:val="single"/>
        </w:rPr>
        <w:t>福建元丰招标有限公司：</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我司在贵公司组织的项目招标中投标（招标编号：），如获中标，我们将按招标文件的规定，并保证在中标公告发出的三天内，以电汇、现金或经贵公司认可的其他付款方式，向贵公司缴交招标服务费。否则，你司可另推中标候选人。</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我方如违反上述承诺，所提交的上述项目的投标保证金将不予退还我方，我方对此无异议。</w:t>
      </w:r>
    </w:p>
    <w:p>
      <w:pPr>
        <w:spacing w:line="500" w:lineRule="exact"/>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特此承诺！</w:t>
      </w: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jc w:val="center"/>
        <w:rPr>
          <w:rFonts w:ascii="仿宋_GB2312" w:hAnsi="宋体" w:eastAsia="仿宋_GB2312" w:cs="宋体"/>
          <w:sz w:val="24"/>
          <w:szCs w:val="24"/>
        </w:rPr>
      </w:pPr>
    </w:p>
    <w:p>
      <w:pPr>
        <w:spacing w:line="500" w:lineRule="exact"/>
        <w:ind w:firstLine="4680" w:firstLineChars="1950"/>
        <w:rPr>
          <w:rFonts w:ascii="仿宋_GB2312" w:hAnsi="宋体" w:eastAsia="仿宋_GB2312" w:cs="宋体"/>
          <w:sz w:val="24"/>
          <w:szCs w:val="24"/>
          <w:u w:val="single"/>
        </w:rPr>
      </w:pPr>
      <w:r>
        <w:rPr>
          <w:rFonts w:hint="eastAsia" w:ascii="仿宋_GB2312" w:hAnsi="宋体" w:eastAsia="仿宋_GB2312" w:cs="宋体"/>
          <w:sz w:val="24"/>
          <w:szCs w:val="24"/>
        </w:rPr>
        <w:t>投标人代表（签字）：</w:t>
      </w:r>
    </w:p>
    <w:p>
      <w:pPr>
        <w:spacing w:line="500" w:lineRule="exact"/>
        <w:ind w:firstLine="4920" w:firstLineChars="2050"/>
        <w:rPr>
          <w:rFonts w:ascii="仿宋_GB2312" w:hAnsi="宋体" w:eastAsia="仿宋_GB2312" w:cs="宋体"/>
          <w:sz w:val="24"/>
          <w:szCs w:val="24"/>
        </w:rPr>
      </w:pPr>
      <w:r>
        <w:rPr>
          <w:rFonts w:hint="eastAsia" w:ascii="仿宋_GB2312" w:hAnsi="宋体" w:eastAsia="仿宋_GB2312" w:cs="宋体"/>
          <w:sz w:val="24"/>
          <w:szCs w:val="24"/>
        </w:rPr>
        <w:t>投标人（盖公章）：</w:t>
      </w:r>
    </w:p>
    <w:p>
      <w:pPr>
        <w:spacing w:line="500" w:lineRule="exact"/>
        <w:ind w:firstLine="5880" w:firstLineChars="2450"/>
        <w:rPr>
          <w:rFonts w:ascii="仿宋_GB2312" w:hAnsi="宋体" w:eastAsia="仿宋_GB2312" w:cs="宋体"/>
          <w:sz w:val="24"/>
          <w:szCs w:val="24"/>
          <w:u w:val="single"/>
        </w:rPr>
      </w:pPr>
      <w:r>
        <w:rPr>
          <w:rFonts w:hint="eastAsia" w:ascii="仿宋_GB2312" w:hAnsi="宋体" w:eastAsia="仿宋_GB2312" w:cs="宋体"/>
          <w:sz w:val="24"/>
          <w:szCs w:val="24"/>
        </w:rPr>
        <w:t>日   期：</w:t>
      </w: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rPr>
          <w:rFonts w:ascii="仿宋_GB2312" w:hAnsi="宋体" w:eastAsia="仿宋_GB2312" w:cs="宋体"/>
          <w:sz w:val="24"/>
          <w:szCs w:val="24"/>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九、退还投标保证金申请单</w:t>
      </w: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(未中标人使用)</w:t>
      </w:r>
    </w:p>
    <w:p>
      <w:pPr>
        <w:spacing w:line="360" w:lineRule="auto"/>
        <w:ind w:left="141" w:leftChars="67" w:firstLine="1"/>
        <w:jc w:val="left"/>
        <w:rPr>
          <w:rFonts w:ascii="仿宋_GB2312" w:hAnsi="宋体" w:eastAsia="仿宋_GB2312" w:cs="宋体"/>
          <w:sz w:val="24"/>
          <w:szCs w:val="24"/>
          <w:u w:val="single"/>
        </w:rPr>
      </w:pPr>
    </w:p>
    <w:p>
      <w:pPr>
        <w:spacing w:line="360" w:lineRule="auto"/>
        <w:ind w:left="141" w:leftChars="67" w:firstLine="1"/>
        <w:jc w:val="left"/>
        <w:rPr>
          <w:rFonts w:ascii="仿宋_GB2312" w:hAnsi="宋体" w:eastAsia="仿宋_GB2312" w:cs="宋体"/>
          <w:sz w:val="24"/>
          <w:szCs w:val="24"/>
          <w:u w:val="single"/>
        </w:rPr>
      </w:pPr>
      <w:r>
        <w:rPr>
          <w:rFonts w:hint="eastAsia" w:ascii="仿宋_GB2312" w:hAnsi="宋体" w:eastAsia="仿宋_GB2312" w:cs="宋体"/>
          <w:sz w:val="24"/>
          <w:szCs w:val="24"/>
          <w:u w:val="single"/>
        </w:rPr>
        <w:t>福建元丰招标有限公司：</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我公司于    年  月  日，存入招标编号为           的（项目名称）           的投标保证金，款项人民币￥　　 　　元（　　拾　　万　　仟　　佰　　拾　　元　　角　　分）到贵司指定账户。本公司所投该项目未中标，现申请退还投标保证金。</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公司全称：</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开 户 行：</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银行账号：</w:t>
      </w:r>
    </w:p>
    <w:p>
      <w:pPr>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单位（盖章）：　　　　　　　　　　　投标人代表签字：</w:t>
      </w: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120" w:firstLineChars="50"/>
        <w:rPr>
          <w:rFonts w:ascii="仿宋_GB2312" w:hAnsi="宋体" w:eastAsia="仿宋_GB2312" w:cs="宋体"/>
          <w:sz w:val="24"/>
          <w:szCs w:val="24"/>
          <w:u w:val="single"/>
        </w:rPr>
      </w:pPr>
      <w:r>
        <w:rPr>
          <w:rFonts w:hint="eastAsia" w:ascii="仿宋_GB2312" w:hAnsi="宋体" w:eastAsia="仿宋_GB2312" w:cs="宋体"/>
          <w:sz w:val="24"/>
          <w:szCs w:val="24"/>
          <w:u w:val="single"/>
        </w:rPr>
        <w:t>备注：  1、未中标人对所投项目结果无异议后填写以上信息。</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2、为确保资金安全，请在上表填写公司转入投标保证金时所提供的银行开户行与账号。</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3、请提供申请单原件。</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4、未能及时缴交本表并填写相关信息而致无法及时退还投标保证金的，福建元丰招标有限公司将不负法律与经济责任。</w:t>
      </w: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p>
    <w:p>
      <w:pPr>
        <w:ind w:left="161" w:hanging="161"/>
        <w:jc w:val="center"/>
        <w:rPr>
          <w:rFonts w:ascii="仿宋_GB2312" w:hAnsi="宋体" w:eastAsia="仿宋_GB2312" w:cs="宋体"/>
          <w:b/>
          <w:sz w:val="24"/>
          <w:szCs w:val="24"/>
          <w:u w:val="single"/>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退还投标保证金申请单</w:t>
      </w: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(中标人使用)</w:t>
      </w:r>
    </w:p>
    <w:p>
      <w:pPr>
        <w:jc w:val="center"/>
        <w:rPr>
          <w:rFonts w:ascii="仿宋_GB2312" w:hAnsi="宋体" w:eastAsia="仿宋_GB2312" w:cs="宋体"/>
          <w:b/>
          <w:sz w:val="24"/>
          <w:szCs w:val="24"/>
          <w:u w:val="single"/>
        </w:rPr>
      </w:pPr>
    </w:p>
    <w:p>
      <w:pPr>
        <w:spacing w:line="360" w:lineRule="auto"/>
        <w:ind w:left="141" w:leftChars="67" w:firstLine="1"/>
        <w:jc w:val="left"/>
        <w:rPr>
          <w:rFonts w:ascii="仿宋_GB2312" w:hAnsi="宋体" w:eastAsia="仿宋_GB2312" w:cs="宋体"/>
          <w:sz w:val="24"/>
          <w:szCs w:val="24"/>
          <w:u w:val="single"/>
        </w:rPr>
      </w:pPr>
      <w:r>
        <w:rPr>
          <w:rFonts w:hint="eastAsia" w:ascii="仿宋_GB2312" w:hAnsi="宋体" w:eastAsia="仿宋_GB2312" w:cs="宋体"/>
          <w:sz w:val="24"/>
          <w:szCs w:val="24"/>
          <w:u w:val="single"/>
        </w:rPr>
        <w:t>福建元丰招标有限公司：</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我公司于    年  月  日，存入招标编号为           的（项目名称）           的投标保证金，款项人民币￥　　　 　元（　　拾　　万　　仟　　佰　　拾　　元　　角　　分）到贵司指定账户，对该中标项目要求的相关事项已办理完毕，现申请退还投标保证金。</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公司全称：</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 xml:space="preserve"> 开 户 行：</w:t>
      </w:r>
    </w:p>
    <w:p>
      <w:pPr>
        <w:spacing w:line="360" w:lineRule="auto"/>
        <w:ind w:left="141" w:leftChars="67" w:firstLine="480" w:firstLineChars="200"/>
        <w:rPr>
          <w:rFonts w:ascii="仿宋_GB2312" w:hAnsi="宋体" w:eastAsia="仿宋_GB2312" w:cs="宋体"/>
          <w:sz w:val="24"/>
          <w:szCs w:val="24"/>
          <w:u w:val="single"/>
        </w:rPr>
      </w:pPr>
      <w:r>
        <w:rPr>
          <w:rFonts w:hint="eastAsia" w:ascii="仿宋_GB2312" w:hAnsi="宋体" w:eastAsia="仿宋_GB2312" w:cs="宋体"/>
          <w:sz w:val="24"/>
          <w:szCs w:val="24"/>
          <w:u w:val="single"/>
        </w:rPr>
        <w:t>银行账号：</w:t>
      </w:r>
    </w:p>
    <w:p>
      <w:pPr>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p>
    <w:p>
      <w:pPr>
        <w:ind w:firstLine="240" w:firstLineChars="100"/>
        <w:rPr>
          <w:rFonts w:ascii="仿宋_GB2312" w:hAnsi="宋体" w:eastAsia="仿宋_GB2312" w:cs="宋体"/>
          <w:sz w:val="24"/>
          <w:szCs w:val="24"/>
          <w:u w:val="single"/>
        </w:rPr>
      </w:pPr>
      <w:r>
        <w:rPr>
          <w:rFonts w:hint="eastAsia" w:ascii="仿宋_GB2312" w:hAnsi="宋体" w:eastAsia="仿宋_GB2312" w:cs="宋体"/>
          <w:sz w:val="24"/>
          <w:szCs w:val="24"/>
          <w:u w:val="single"/>
        </w:rPr>
        <w:t>单位（盖章）：　　　　　　　　　　　投标人代表签字：</w:t>
      </w:r>
    </w:p>
    <w:p>
      <w:pPr>
        <w:rPr>
          <w:rFonts w:ascii="仿宋_GB2312" w:hAnsi="宋体" w:eastAsia="仿宋_GB2312" w:cs="宋体"/>
          <w:sz w:val="24"/>
          <w:szCs w:val="24"/>
          <w:u w:val="single"/>
        </w:rPr>
      </w:pP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备注：1、中标人对所投项目结果无异议后填写以上信息。</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2、为确保资金安全，请在上表填写公司转入投标保证金时所提供的银行开户行与账号。</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3、在退还投标保证金时需提供签定好的合同书。(以上资料不留底)。</w:t>
      </w:r>
    </w:p>
    <w:p>
      <w:pPr>
        <w:spacing w:line="360" w:lineRule="auto"/>
        <w:ind w:left="141" w:leftChars="67" w:firstLine="360" w:firstLineChars="150"/>
        <w:rPr>
          <w:rFonts w:ascii="仿宋_GB2312" w:hAnsi="宋体" w:eastAsia="仿宋_GB2312" w:cs="宋体"/>
          <w:sz w:val="24"/>
          <w:szCs w:val="24"/>
          <w:u w:val="single"/>
        </w:rPr>
      </w:pPr>
      <w:r>
        <w:rPr>
          <w:rFonts w:hint="eastAsia" w:ascii="仿宋_GB2312" w:hAnsi="宋体" w:eastAsia="仿宋_GB2312" w:cs="宋体"/>
          <w:sz w:val="24"/>
          <w:szCs w:val="24"/>
          <w:u w:val="single"/>
        </w:rPr>
        <w:t>4、未能及时缴交本表并填写相关信息而致无法及时退还投标保证金的，福建元丰招标有限公司将不负法律与经济责任。</w:t>
      </w:r>
    </w:p>
    <w:p>
      <w:pPr>
        <w:spacing w:line="360" w:lineRule="auto"/>
        <w:ind w:left="141" w:leftChars="67" w:firstLine="360" w:firstLineChars="150"/>
        <w:rPr>
          <w:rFonts w:ascii="仿宋_GB2312" w:hAnsi="宋体" w:eastAsia="仿宋_GB2312" w:cs="宋体"/>
          <w:sz w:val="24"/>
          <w:szCs w:val="24"/>
          <w:u w:val="single"/>
        </w:rPr>
      </w:pPr>
    </w:p>
    <w:bookmarkEnd w:id="4"/>
    <w:bookmarkEnd w:id="5"/>
    <w:bookmarkEnd w:id="6"/>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rFonts w:ascii="黑体" w:hAnsi="黑体" w:eastAsia="黑体" w:cs="黑体"/>
          <w:b/>
          <w:bCs/>
          <w:sz w:val="30"/>
          <w:szCs w:val="30"/>
        </w:rPr>
      </w:pPr>
    </w:p>
    <w:p>
      <w:pPr>
        <w:rPr>
          <w:b/>
          <w:bCs/>
          <w:sz w:val="28"/>
          <w:szCs w:val="28"/>
        </w:rPr>
      </w:pPr>
    </w:p>
    <w:p>
      <w:pPr>
        <w:jc w:val="center"/>
        <w:rPr>
          <w:rFonts w:ascii="仿宋_GB2312" w:hAnsi="宋体" w:eastAsia="仿宋_GB2312" w:cs="宋体"/>
          <w:b/>
          <w:w w:val="90"/>
          <w:sz w:val="36"/>
          <w:szCs w:val="36"/>
        </w:rPr>
      </w:pPr>
      <w:r>
        <w:rPr>
          <w:rFonts w:hint="eastAsia" w:ascii="仿宋_GB2312" w:hAnsi="宋体" w:eastAsia="仿宋_GB2312" w:cs="宋体"/>
          <w:b/>
          <w:w w:val="90"/>
          <w:sz w:val="36"/>
          <w:szCs w:val="36"/>
        </w:rPr>
        <w:t>附件1投标一览表格式</w:t>
      </w:r>
    </w:p>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我行承诺本次中标期限为三年的存款利率为（数值精确到</w:t>
      </w:r>
      <w:r>
        <w:rPr>
          <w:rFonts w:hint="eastAsia" w:ascii="仿宋" w:hAnsi="仿宋" w:eastAsia="仿宋" w:cs="仿宋"/>
          <w:b/>
          <w:bCs/>
          <w:sz w:val="24"/>
          <w:szCs w:val="24"/>
        </w:rPr>
        <w:t>小数点</w:t>
      </w:r>
      <w:r>
        <w:rPr>
          <w:rFonts w:hint="eastAsia" w:ascii="仿宋" w:hAnsi="仿宋" w:eastAsia="仿宋" w:cs="仿宋"/>
          <w:sz w:val="24"/>
          <w:szCs w:val="24"/>
        </w:rPr>
        <w:t>后四位）：</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投标人授权代表签字：</w:t>
      </w:r>
    </w:p>
    <w:p>
      <w:pPr>
        <w:spacing w:line="360" w:lineRule="auto"/>
        <w:rPr>
          <w:rFonts w:ascii="仿宋" w:hAnsi="仿宋" w:eastAsia="仿宋" w:cs="仿宋"/>
          <w:sz w:val="24"/>
          <w:szCs w:val="24"/>
        </w:rPr>
      </w:pPr>
      <w:r>
        <w:rPr>
          <w:rFonts w:hint="eastAsia" w:ascii="仿宋" w:hAnsi="仿宋" w:eastAsia="仿宋" w:cs="仿宋"/>
          <w:sz w:val="24"/>
          <w:szCs w:val="24"/>
        </w:rPr>
        <w:t>投标人(公章）：</w:t>
      </w:r>
    </w:p>
    <w:p>
      <w:pPr>
        <w:spacing w:line="360" w:lineRule="auto"/>
        <w:rPr>
          <w:rFonts w:ascii="仿宋" w:hAnsi="仿宋" w:eastAsia="仿宋" w:cs="仿宋"/>
          <w:sz w:val="24"/>
          <w:szCs w:val="24"/>
        </w:rPr>
      </w:pPr>
      <w:r>
        <w:rPr>
          <w:rFonts w:hint="eastAsia" w:ascii="仿宋" w:hAnsi="仿宋" w:eastAsia="仿宋" w:cs="仿宋"/>
          <w:sz w:val="24"/>
          <w:szCs w:val="24"/>
        </w:rPr>
        <w:t>日期：   年     月    日</w:t>
      </w:r>
    </w:p>
    <w:p>
      <w:pPr>
        <w:autoSpaceDE w:val="0"/>
        <w:autoSpaceDN w:val="0"/>
        <w:adjustRightInd w:val="0"/>
        <w:spacing w:line="360" w:lineRule="auto"/>
        <w:rPr>
          <w:rFonts w:ascii="仿宋" w:hAnsi="仿宋" w:eastAsia="仿宋" w:cs="仿宋"/>
          <w:sz w:val="24"/>
          <w:szCs w:val="24"/>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autoSpaceDE w:val="0"/>
        <w:autoSpaceDN w:val="0"/>
        <w:adjustRightInd w:val="0"/>
        <w:spacing w:line="320" w:lineRule="exact"/>
        <w:rPr>
          <w:rFonts w:ascii="黑体" w:hAnsi="黑体" w:eastAsia="黑体" w:cs="黑体"/>
          <w:sz w:val="30"/>
          <w:szCs w:val="30"/>
        </w:rPr>
      </w:pPr>
    </w:p>
    <w:p>
      <w:pPr>
        <w:spacing w:line="220" w:lineRule="atLeast"/>
      </w:pPr>
    </w:p>
    <w:p>
      <w:pPr>
        <w:autoSpaceDE w:val="0"/>
        <w:autoSpaceDN w:val="0"/>
        <w:adjustRightInd w:val="0"/>
        <w:spacing w:line="320" w:lineRule="exact"/>
        <w:rPr>
          <w:rFonts w:ascii="黑体" w:hAnsi="黑体" w:eastAsia="黑体" w:cs="黑体"/>
          <w:sz w:val="30"/>
          <w:szCs w:val="30"/>
        </w:rPr>
      </w:pPr>
    </w:p>
    <w:sectPr>
      <w:headerReference r:id="rId9" w:type="default"/>
      <w:pgSz w:w="11906" w:h="16838"/>
      <w:pgMar w:top="1440" w:right="1106" w:bottom="970" w:left="1260" w:header="851" w:footer="480" w:gutter="0"/>
      <w:cols w:space="720" w:num="1"/>
      <w:docGrid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Black">
    <w:panose1 w:val="020B0A0402010202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Mangal">
    <w:altName w:val="Cambria Math"/>
    <w:panose1 w:val="02040503050203030202"/>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A00002EF" w:usb1="420020E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7938"/>
      </w:tabs>
      <w:rPr>
        <w:rFonts w:ascii="宋体" w:hAnsi="宋体"/>
        <w:sz w:val="21"/>
        <w:szCs w:val="21"/>
        <w:u w:val="single"/>
      </w:rPr>
    </w:pPr>
    <w:r>
      <w:rPr>
        <w:rFonts w:hint="eastAsia" w:ascii="宋体" w:hAnsi="宋体"/>
        <w:sz w:val="21"/>
        <w:szCs w:val="21"/>
        <w:u w:val="single"/>
      </w:rPr>
      <w:t>福建元丰招标有限公司        地址：泉州市区刺桐路东段富康大厦201室        电话:0595-28096567</w:t>
    </w:r>
  </w:p>
  <w:p>
    <w:pPr>
      <w:pStyle w:val="19"/>
      <w:jc w:val="center"/>
      <w:rPr>
        <w:rFonts w:ascii="宋体" w:hAnsi="宋体"/>
      </w:rPr>
    </w:pPr>
    <w:r>
      <w:rPr>
        <w:rFonts w:hint="eastAsia" w:ascii="宋体" w:hAnsi="宋体"/>
        <w:kern w:val="0"/>
      </w:rPr>
      <w:t xml:space="preserve">第 </w:t>
    </w:r>
    <w:r>
      <w:rPr>
        <w:rFonts w:hint="eastAsia" w:ascii="宋体" w:hAnsi="宋体"/>
        <w:kern w:val="0"/>
      </w:rPr>
      <w:fldChar w:fldCharType="begin"/>
    </w:r>
    <w:r>
      <w:rPr>
        <w:rFonts w:hint="eastAsia" w:ascii="宋体" w:hAnsi="宋体"/>
        <w:kern w:val="0"/>
      </w:rPr>
      <w:instrText xml:space="preserve"> PAGE </w:instrText>
    </w:r>
    <w:r>
      <w:rPr>
        <w:rFonts w:hint="eastAsia" w:ascii="宋体" w:hAnsi="宋体"/>
        <w:kern w:val="0"/>
      </w:rPr>
      <w:fldChar w:fldCharType="separate"/>
    </w:r>
    <w:r>
      <w:rPr>
        <w:rFonts w:ascii="宋体" w:hAnsi="宋体"/>
        <w:kern w:val="0"/>
      </w:rPr>
      <w:t>41</w:t>
    </w:r>
    <w:r>
      <w:rPr>
        <w:rFonts w:hint="eastAsia" w:ascii="宋体" w:hAnsi="宋体"/>
        <w:kern w:val="0"/>
      </w:rPr>
      <w:fldChar w:fldCharType="end"/>
    </w:r>
    <w:r>
      <w:rPr>
        <w:rFonts w:hint="eastAsia" w:ascii="宋体" w:hAnsi="宋体"/>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60" w:lineRule="auto"/>
      <w:ind w:leftChars="-67" w:hanging="140" w:hangingChars="67"/>
      <w:rPr>
        <w:rFonts w:ascii="宋体" w:hAnsi="宋体"/>
        <w:szCs w:val="21"/>
      </w:rPr>
    </w:pPr>
    <w:r>
      <w:rPr>
        <w:rFonts w:hint="eastAsia" w:ascii="宋体" w:hAnsi="宋体"/>
        <w:szCs w:val="21"/>
      </w:rPr>
      <w:t xml:space="preserve">                                                                      招标编号：FJYFCGZ202007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spacing w:line="360" w:lineRule="auto"/>
      <w:ind w:leftChars="-67" w:hanging="140" w:hangingChars="67"/>
      <w:rPr>
        <w:rFonts w:hint="default" w:ascii="宋体" w:hAnsi="宋体" w:eastAsia="宋体"/>
        <w:szCs w:val="21"/>
        <w:lang w:val="en-US" w:eastAsia="zh-CN"/>
      </w:rPr>
    </w:pPr>
    <w:r>
      <w:rPr>
        <w:rFonts w:hint="eastAsia" w:ascii="宋体" w:hAnsi="宋体"/>
        <w:szCs w:val="21"/>
      </w:rPr>
      <w:t xml:space="preserve">                                                                    招标编号：FJYFCGZ</w:t>
    </w:r>
    <w:r>
      <w:rPr>
        <w:rFonts w:hint="eastAsia" w:ascii="宋体" w:hAnsi="宋体"/>
        <w:szCs w:val="21"/>
        <w:lang w:eastAsia="zh-CN"/>
      </w:rPr>
      <w:t>2020</w:t>
    </w:r>
    <w:r>
      <w:rPr>
        <w:rFonts w:hint="eastAsia" w:ascii="宋体" w:hAnsi="宋体"/>
        <w:szCs w:val="21"/>
        <w:lang w:val="en-US" w:eastAsia="zh-CN"/>
      </w:rPr>
      <w:t>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Cs w:val="21"/>
      </w:rPr>
    </w:pPr>
    <w:r>
      <w:rPr>
        <w:rFonts w:hint="eastAsia" w:ascii="宋体" w:hAnsi="宋体"/>
        <w:szCs w:val="21"/>
      </w:rPr>
      <w:t xml:space="preserve">                                                                                招标编号：FJYFCGZ</w:t>
    </w:r>
    <w:r>
      <w:rPr>
        <w:rFonts w:hint="eastAsia" w:ascii="宋体" w:hAnsi="宋体"/>
        <w:szCs w:val="21"/>
        <w:lang w:eastAsia="zh-CN"/>
      </w:rPr>
      <w:t>2020</w:t>
    </w:r>
    <w:r>
      <w:rPr>
        <w:rFonts w:hint="eastAsia" w:ascii="宋体" w:hAnsi="宋体"/>
        <w:szCs w:val="21"/>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36CD"/>
    <w:multiLevelType w:val="singleLevel"/>
    <w:tmpl w:val="2D6836CD"/>
    <w:lvl w:ilvl="0" w:tentative="0">
      <w:start w:val="2"/>
      <w:numFmt w:val="chineseCounting"/>
      <w:suff w:val="nothing"/>
      <w:lvlText w:val="第%1节、"/>
      <w:lvlJc w:val="left"/>
      <w:rPr>
        <w:rFonts w:hint="eastAsia"/>
      </w:rPr>
    </w:lvl>
  </w:abstractNum>
  <w:abstractNum w:abstractNumId="1">
    <w:nsid w:val="3BAFE9C1"/>
    <w:multiLevelType w:val="singleLevel"/>
    <w:tmpl w:val="3BAFE9C1"/>
    <w:lvl w:ilvl="0" w:tentative="0">
      <w:start w:val="5"/>
      <w:numFmt w:val="decimal"/>
      <w:suff w:val="nothing"/>
      <w:lvlText w:val="%1、"/>
      <w:lvlJc w:val="left"/>
    </w:lvl>
  </w:abstractNum>
  <w:abstractNum w:abstractNumId="2">
    <w:nsid w:val="7C974AFC"/>
    <w:multiLevelType w:val="singleLevel"/>
    <w:tmpl w:val="7C974AF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52"/>
    <w:rsid w:val="000017C7"/>
    <w:rsid w:val="00002745"/>
    <w:rsid w:val="000046E0"/>
    <w:rsid w:val="00004950"/>
    <w:rsid w:val="0000715F"/>
    <w:rsid w:val="000072B3"/>
    <w:rsid w:val="00011052"/>
    <w:rsid w:val="00012FD6"/>
    <w:rsid w:val="00013DDB"/>
    <w:rsid w:val="00014093"/>
    <w:rsid w:val="000146AE"/>
    <w:rsid w:val="00015789"/>
    <w:rsid w:val="000168D4"/>
    <w:rsid w:val="00017B6D"/>
    <w:rsid w:val="000204F6"/>
    <w:rsid w:val="00020B41"/>
    <w:rsid w:val="00037E1C"/>
    <w:rsid w:val="00037FBE"/>
    <w:rsid w:val="000401C6"/>
    <w:rsid w:val="00045D1E"/>
    <w:rsid w:val="0005068E"/>
    <w:rsid w:val="000520B8"/>
    <w:rsid w:val="000531CA"/>
    <w:rsid w:val="00053898"/>
    <w:rsid w:val="0005472E"/>
    <w:rsid w:val="000550FF"/>
    <w:rsid w:val="000554C3"/>
    <w:rsid w:val="00060435"/>
    <w:rsid w:val="00061FF4"/>
    <w:rsid w:val="00071227"/>
    <w:rsid w:val="00072E55"/>
    <w:rsid w:val="0007323C"/>
    <w:rsid w:val="000800AE"/>
    <w:rsid w:val="000821D2"/>
    <w:rsid w:val="00084831"/>
    <w:rsid w:val="00085004"/>
    <w:rsid w:val="000862C3"/>
    <w:rsid w:val="000870C7"/>
    <w:rsid w:val="00087FD9"/>
    <w:rsid w:val="00090AF5"/>
    <w:rsid w:val="000922CD"/>
    <w:rsid w:val="00092B84"/>
    <w:rsid w:val="00095EC4"/>
    <w:rsid w:val="00096D78"/>
    <w:rsid w:val="00097022"/>
    <w:rsid w:val="000971BA"/>
    <w:rsid w:val="000A2F6D"/>
    <w:rsid w:val="000A41FC"/>
    <w:rsid w:val="000B4B3F"/>
    <w:rsid w:val="000B6C34"/>
    <w:rsid w:val="000C1C95"/>
    <w:rsid w:val="000C21C9"/>
    <w:rsid w:val="000C2B71"/>
    <w:rsid w:val="000C723C"/>
    <w:rsid w:val="000D1239"/>
    <w:rsid w:val="000D6D66"/>
    <w:rsid w:val="000D741F"/>
    <w:rsid w:val="000E21FB"/>
    <w:rsid w:val="000E2672"/>
    <w:rsid w:val="000E29AF"/>
    <w:rsid w:val="000E396D"/>
    <w:rsid w:val="000E7857"/>
    <w:rsid w:val="000E7CB6"/>
    <w:rsid w:val="000F2EA3"/>
    <w:rsid w:val="000F4F79"/>
    <w:rsid w:val="000F5A97"/>
    <w:rsid w:val="000F79A7"/>
    <w:rsid w:val="00100870"/>
    <w:rsid w:val="00100EE3"/>
    <w:rsid w:val="00111A6B"/>
    <w:rsid w:val="00112B01"/>
    <w:rsid w:val="00116C4D"/>
    <w:rsid w:val="00122CA0"/>
    <w:rsid w:val="00124181"/>
    <w:rsid w:val="001303EB"/>
    <w:rsid w:val="00131B09"/>
    <w:rsid w:val="001338DD"/>
    <w:rsid w:val="0013737B"/>
    <w:rsid w:val="001377A7"/>
    <w:rsid w:val="00137C6C"/>
    <w:rsid w:val="00146D94"/>
    <w:rsid w:val="001513F7"/>
    <w:rsid w:val="00152133"/>
    <w:rsid w:val="001548CC"/>
    <w:rsid w:val="00155D4D"/>
    <w:rsid w:val="00161439"/>
    <w:rsid w:val="001643FA"/>
    <w:rsid w:val="00164698"/>
    <w:rsid w:val="00164CAB"/>
    <w:rsid w:val="00167C9A"/>
    <w:rsid w:val="00172A27"/>
    <w:rsid w:val="0017304C"/>
    <w:rsid w:val="001748D5"/>
    <w:rsid w:val="00177623"/>
    <w:rsid w:val="00184498"/>
    <w:rsid w:val="001870EC"/>
    <w:rsid w:val="0019066F"/>
    <w:rsid w:val="00191A17"/>
    <w:rsid w:val="00192244"/>
    <w:rsid w:val="0019525D"/>
    <w:rsid w:val="0019651D"/>
    <w:rsid w:val="001A1EB2"/>
    <w:rsid w:val="001A29D6"/>
    <w:rsid w:val="001A2EED"/>
    <w:rsid w:val="001A5B88"/>
    <w:rsid w:val="001B1607"/>
    <w:rsid w:val="001B446A"/>
    <w:rsid w:val="001B55B6"/>
    <w:rsid w:val="001C0140"/>
    <w:rsid w:val="001C5B0E"/>
    <w:rsid w:val="001D0009"/>
    <w:rsid w:val="001D0853"/>
    <w:rsid w:val="001D1267"/>
    <w:rsid w:val="001D2F79"/>
    <w:rsid w:val="001D39FC"/>
    <w:rsid w:val="001D46B4"/>
    <w:rsid w:val="001D622D"/>
    <w:rsid w:val="001E01E5"/>
    <w:rsid w:val="001E0519"/>
    <w:rsid w:val="001E21A0"/>
    <w:rsid w:val="001E3CD1"/>
    <w:rsid w:val="001E6089"/>
    <w:rsid w:val="001F1768"/>
    <w:rsid w:val="001F2B9D"/>
    <w:rsid w:val="00200AD1"/>
    <w:rsid w:val="00201A20"/>
    <w:rsid w:val="00201B4B"/>
    <w:rsid w:val="00201F7E"/>
    <w:rsid w:val="002042F0"/>
    <w:rsid w:val="00204BC8"/>
    <w:rsid w:val="00211B1A"/>
    <w:rsid w:val="00212681"/>
    <w:rsid w:val="00215A04"/>
    <w:rsid w:val="0021618C"/>
    <w:rsid w:val="00216E44"/>
    <w:rsid w:val="002174B6"/>
    <w:rsid w:val="00227B26"/>
    <w:rsid w:val="00227E33"/>
    <w:rsid w:val="00231040"/>
    <w:rsid w:val="00231C57"/>
    <w:rsid w:val="0023302D"/>
    <w:rsid w:val="00233C6B"/>
    <w:rsid w:val="00234BD0"/>
    <w:rsid w:val="002363CF"/>
    <w:rsid w:val="00236B1B"/>
    <w:rsid w:val="00240825"/>
    <w:rsid w:val="00242B15"/>
    <w:rsid w:val="00245769"/>
    <w:rsid w:val="00252BDC"/>
    <w:rsid w:val="00252D79"/>
    <w:rsid w:val="002549CF"/>
    <w:rsid w:val="0026269C"/>
    <w:rsid w:val="00262DE9"/>
    <w:rsid w:val="00264FE6"/>
    <w:rsid w:val="00265BEF"/>
    <w:rsid w:val="00266FB7"/>
    <w:rsid w:val="002673CA"/>
    <w:rsid w:val="00270B59"/>
    <w:rsid w:val="002743D6"/>
    <w:rsid w:val="00277091"/>
    <w:rsid w:val="0028015F"/>
    <w:rsid w:val="00280454"/>
    <w:rsid w:val="00281519"/>
    <w:rsid w:val="002822C5"/>
    <w:rsid w:val="0028317B"/>
    <w:rsid w:val="00284EA8"/>
    <w:rsid w:val="00286C54"/>
    <w:rsid w:val="00292799"/>
    <w:rsid w:val="0029696F"/>
    <w:rsid w:val="00297658"/>
    <w:rsid w:val="002A0B95"/>
    <w:rsid w:val="002A3343"/>
    <w:rsid w:val="002B0319"/>
    <w:rsid w:val="002B5E5B"/>
    <w:rsid w:val="002B761C"/>
    <w:rsid w:val="002C000F"/>
    <w:rsid w:val="002C1E31"/>
    <w:rsid w:val="002C5C56"/>
    <w:rsid w:val="002D1B71"/>
    <w:rsid w:val="002D1BD1"/>
    <w:rsid w:val="002D224A"/>
    <w:rsid w:val="002D647B"/>
    <w:rsid w:val="002E1FB3"/>
    <w:rsid w:val="002E6A2D"/>
    <w:rsid w:val="002E7B7C"/>
    <w:rsid w:val="002E7DE9"/>
    <w:rsid w:val="002F2234"/>
    <w:rsid w:val="002F597E"/>
    <w:rsid w:val="002F67EC"/>
    <w:rsid w:val="0030132D"/>
    <w:rsid w:val="00305FA9"/>
    <w:rsid w:val="003124BD"/>
    <w:rsid w:val="0032020C"/>
    <w:rsid w:val="0032164F"/>
    <w:rsid w:val="00323303"/>
    <w:rsid w:val="00324F96"/>
    <w:rsid w:val="00325C20"/>
    <w:rsid w:val="00325C68"/>
    <w:rsid w:val="00330E25"/>
    <w:rsid w:val="00330FA2"/>
    <w:rsid w:val="00333494"/>
    <w:rsid w:val="0033470D"/>
    <w:rsid w:val="00334BA1"/>
    <w:rsid w:val="00336058"/>
    <w:rsid w:val="003401B9"/>
    <w:rsid w:val="003404B6"/>
    <w:rsid w:val="00345855"/>
    <w:rsid w:val="0034764C"/>
    <w:rsid w:val="00351B13"/>
    <w:rsid w:val="00354966"/>
    <w:rsid w:val="003549B0"/>
    <w:rsid w:val="003569D2"/>
    <w:rsid w:val="00356C02"/>
    <w:rsid w:val="00362E96"/>
    <w:rsid w:val="00364E9D"/>
    <w:rsid w:val="003650F0"/>
    <w:rsid w:val="0036578B"/>
    <w:rsid w:val="00366833"/>
    <w:rsid w:val="00370729"/>
    <w:rsid w:val="0037151F"/>
    <w:rsid w:val="00373E41"/>
    <w:rsid w:val="00375AAC"/>
    <w:rsid w:val="00382FE1"/>
    <w:rsid w:val="003850C9"/>
    <w:rsid w:val="00386506"/>
    <w:rsid w:val="00391416"/>
    <w:rsid w:val="00393853"/>
    <w:rsid w:val="00396D34"/>
    <w:rsid w:val="003A0E28"/>
    <w:rsid w:val="003A3702"/>
    <w:rsid w:val="003A6A43"/>
    <w:rsid w:val="003A70A1"/>
    <w:rsid w:val="003B01AB"/>
    <w:rsid w:val="003B066F"/>
    <w:rsid w:val="003B24CF"/>
    <w:rsid w:val="003B3BDF"/>
    <w:rsid w:val="003B3EAF"/>
    <w:rsid w:val="003B3ECF"/>
    <w:rsid w:val="003C1641"/>
    <w:rsid w:val="003C1CE3"/>
    <w:rsid w:val="003C2E5F"/>
    <w:rsid w:val="003D073D"/>
    <w:rsid w:val="003D417C"/>
    <w:rsid w:val="003D474F"/>
    <w:rsid w:val="003D5E01"/>
    <w:rsid w:val="003D678E"/>
    <w:rsid w:val="003D6FF3"/>
    <w:rsid w:val="003D7233"/>
    <w:rsid w:val="003E02C7"/>
    <w:rsid w:val="003E19ED"/>
    <w:rsid w:val="003E7E11"/>
    <w:rsid w:val="003F1244"/>
    <w:rsid w:val="003F32A9"/>
    <w:rsid w:val="003F6051"/>
    <w:rsid w:val="003F7942"/>
    <w:rsid w:val="00400DA1"/>
    <w:rsid w:val="00402E86"/>
    <w:rsid w:val="004062D2"/>
    <w:rsid w:val="00411C8F"/>
    <w:rsid w:val="00415424"/>
    <w:rsid w:val="00417258"/>
    <w:rsid w:val="00425D96"/>
    <w:rsid w:val="004261C3"/>
    <w:rsid w:val="00426B52"/>
    <w:rsid w:val="00432D95"/>
    <w:rsid w:val="00434C7F"/>
    <w:rsid w:val="004351C6"/>
    <w:rsid w:val="00435B56"/>
    <w:rsid w:val="00436B27"/>
    <w:rsid w:val="0043772E"/>
    <w:rsid w:val="0044179B"/>
    <w:rsid w:val="00443037"/>
    <w:rsid w:val="00443DF2"/>
    <w:rsid w:val="00445161"/>
    <w:rsid w:val="00451DFA"/>
    <w:rsid w:val="00454B01"/>
    <w:rsid w:val="004641AB"/>
    <w:rsid w:val="00464FAC"/>
    <w:rsid w:val="0046526D"/>
    <w:rsid w:val="004660E2"/>
    <w:rsid w:val="00466419"/>
    <w:rsid w:val="00467204"/>
    <w:rsid w:val="00471FF1"/>
    <w:rsid w:val="004720D2"/>
    <w:rsid w:val="004755D8"/>
    <w:rsid w:val="0047791C"/>
    <w:rsid w:val="004809F6"/>
    <w:rsid w:val="00482629"/>
    <w:rsid w:val="00483061"/>
    <w:rsid w:val="004837E1"/>
    <w:rsid w:val="00491B22"/>
    <w:rsid w:val="004930A5"/>
    <w:rsid w:val="0049762E"/>
    <w:rsid w:val="004A16DA"/>
    <w:rsid w:val="004A3FF9"/>
    <w:rsid w:val="004A5295"/>
    <w:rsid w:val="004A6449"/>
    <w:rsid w:val="004B0427"/>
    <w:rsid w:val="004B37B7"/>
    <w:rsid w:val="004B3A1D"/>
    <w:rsid w:val="004B7B91"/>
    <w:rsid w:val="004C32B4"/>
    <w:rsid w:val="004C5B12"/>
    <w:rsid w:val="004D6610"/>
    <w:rsid w:val="004E079B"/>
    <w:rsid w:val="004E1A5E"/>
    <w:rsid w:val="004E2E8B"/>
    <w:rsid w:val="004E335F"/>
    <w:rsid w:val="004E5602"/>
    <w:rsid w:val="004E63F7"/>
    <w:rsid w:val="004F280F"/>
    <w:rsid w:val="004F571C"/>
    <w:rsid w:val="004F6932"/>
    <w:rsid w:val="00500027"/>
    <w:rsid w:val="0050139E"/>
    <w:rsid w:val="0050237B"/>
    <w:rsid w:val="00503EA4"/>
    <w:rsid w:val="0051123A"/>
    <w:rsid w:val="0051142B"/>
    <w:rsid w:val="00513F90"/>
    <w:rsid w:val="00514086"/>
    <w:rsid w:val="00514481"/>
    <w:rsid w:val="005172E9"/>
    <w:rsid w:val="00522C21"/>
    <w:rsid w:val="00522F1A"/>
    <w:rsid w:val="00523092"/>
    <w:rsid w:val="005233EB"/>
    <w:rsid w:val="005240DC"/>
    <w:rsid w:val="0052500F"/>
    <w:rsid w:val="00525C89"/>
    <w:rsid w:val="005266FF"/>
    <w:rsid w:val="00526782"/>
    <w:rsid w:val="00530749"/>
    <w:rsid w:val="005312F5"/>
    <w:rsid w:val="005315FA"/>
    <w:rsid w:val="00532CCA"/>
    <w:rsid w:val="005339CB"/>
    <w:rsid w:val="00533C13"/>
    <w:rsid w:val="00533DB1"/>
    <w:rsid w:val="00534C5D"/>
    <w:rsid w:val="0053523D"/>
    <w:rsid w:val="0054202E"/>
    <w:rsid w:val="00544413"/>
    <w:rsid w:val="00545431"/>
    <w:rsid w:val="005517D8"/>
    <w:rsid w:val="005546ED"/>
    <w:rsid w:val="00556CC7"/>
    <w:rsid w:val="00557D5F"/>
    <w:rsid w:val="00571355"/>
    <w:rsid w:val="00573818"/>
    <w:rsid w:val="00573EF2"/>
    <w:rsid w:val="005743C0"/>
    <w:rsid w:val="005750AE"/>
    <w:rsid w:val="00581CA7"/>
    <w:rsid w:val="00584714"/>
    <w:rsid w:val="00587909"/>
    <w:rsid w:val="0059257B"/>
    <w:rsid w:val="00592821"/>
    <w:rsid w:val="00594274"/>
    <w:rsid w:val="005A126A"/>
    <w:rsid w:val="005A5495"/>
    <w:rsid w:val="005A7C40"/>
    <w:rsid w:val="005B1BA8"/>
    <w:rsid w:val="005B26DB"/>
    <w:rsid w:val="005B2B0D"/>
    <w:rsid w:val="005B2EF4"/>
    <w:rsid w:val="005B3563"/>
    <w:rsid w:val="005C6B20"/>
    <w:rsid w:val="005C71B4"/>
    <w:rsid w:val="005C72BB"/>
    <w:rsid w:val="005C7640"/>
    <w:rsid w:val="005D067A"/>
    <w:rsid w:val="005D078D"/>
    <w:rsid w:val="005D120F"/>
    <w:rsid w:val="005D70AF"/>
    <w:rsid w:val="005E08D8"/>
    <w:rsid w:val="005E1BFB"/>
    <w:rsid w:val="005E456B"/>
    <w:rsid w:val="005E6A39"/>
    <w:rsid w:val="005F2A90"/>
    <w:rsid w:val="00601A73"/>
    <w:rsid w:val="00602F8E"/>
    <w:rsid w:val="00605290"/>
    <w:rsid w:val="00614859"/>
    <w:rsid w:val="00617B05"/>
    <w:rsid w:val="00617FBF"/>
    <w:rsid w:val="00625BD0"/>
    <w:rsid w:val="00632504"/>
    <w:rsid w:val="006339D6"/>
    <w:rsid w:val="00634BAD"/>
    <w:rsid w:val="00636598"/>
    <w:rsid w:val="00637C56"/>
    <w:rsid w:val="00641B2A"/>
    <w:rsid w:val="006479AD"/>
    <w:rsid w:val="0065131D"/>
    <w:rsid w:val="006523CB"/>
    <w:rsid w:val="0065380E"/>
    <w:rsid w:val="00653E66"/>
    <w:rsid w:val="00660116"/>
    <w:rsid w:val="00665442"/>
    <w:rsid w:val="006660C3"/>
    <w:rsid w:val="006675E1"/>
    <w:rsid w:val="00667C4F"/>
    <w:rsid w:val="00675BB4"/>
    <w:rsid w:val="00675ED5"/>
    <w:rsid w:val="00676014"/>
    <w:rsid w:val="00687DF0"/>
    <w:rsid w:val="00691B2A"/>
    <w:rsid w:val="00693FD7"/>
    <w:rsid w:val="00697990"/>
    <w:rsid w:val="006A2466"/>
    <w:rsid w:val="006A349F"/>
    <w:rsid w:val="006A5832"/>
    <w:rsid w:val="006A62EB"/>
    <w:rsid w:val="006B0EAE"/>
    <w:rsid w:val="006B1C45"/>
    <w:rsid w:val="006B3799"/>
    <w:rsid w:val="006B509C"/>
    <w:rsid w:val="006C2EAC"/>
    <w:rsid w:val="006C3FDC"/>
    <w:rsid w:val="006C48B0"/>
    <w:rsid w:val="006C643E"/>
    <w:rsid w:val="006D03A4"/>
    <w:rsid w:val="006D074E"/>
    <w:rsid w:val="006D2580"/>
    <w:rsid w:val="006D4C9B"/>
    <w:rsid w:val="006D4E2F"/>
    <w:rsid w:val="006D6568"/>
    <w:rsid w:val="006F0316"/>
    <w:rsid w:val="006F2781"/>
    <w:rsid w:val="006F3C34"/>
    <w:rsid w:val="006F5137"/>
    <w:rsid w:val="006F5F65"/>
    <w:rsid w:val="006F6BB9"/>
    <w:rsid w:val="00700C94"/>
    <w:rsid w:val="00701777"/>
    <w:rsid w:val="007023D3"/>
    <w:rsid w:val="00704347"/>
    <w:rsid w:val="00705816"/>
    <w:rsid w:val="00713BF1"/>
    <w:rsid w:val="007164FE"/>
    <w:rsid w:val="0071704F"/>
    <w:rsid w:val="00721B22"/>
    <w:rsid w:val="007222EB"/>
    <w:rsid w:val="00725A1B"/>
    <w:rsid w:val="00727FD9"/>
    <w:rsid w:val="00731FFC"/>
    <w:rsid w:val="00733917"/>
    <w:rsid w:val="00733E9E"/>
    <w:rsid w:val="00735BAF"/>
    <w:rsid w:val="00737C44"/>
    <w:rsid w:val="007441AA"/>
    <w:rsid w:val="00745131"/>
    <w:rsid w:val="00745D4D"/>
    <w:rsid w:val="00750D49"/>
    <w:rsid w:val="00752596"/>
    <w:rsid w:val="00753927"/>
    <w:rsid w:val="007555A0"/>
    <w:rsid w:val="0075697F"/>
    <w:rsid w:val="00760DC8"/>
    <w:rsid w:val="00765096"/>
    <w:rsid w:val="0076583C"/>
    <w:rsid w:val="00766230"/>
    <w:rsid w:val="00766EFC"/>
    <w:rsid w:val="007711A3"/>
    <w:rsid w:val="007712DB"/>
    <w:rsid w:val="00773B3C"/>
    <w:rsid w:val="00776920"/>
    <w:rsid w:val="00783396"/>
    <w:rsid w:val="00783539"/>
    <w:rsid w:val="007840E0"/>
    <w:rsid w:val="00785EAE"/>
    <w:rsid w:val="00791F6F"/>
    <w:rsid w:val="007941D4"/>
    <w:rsid w:val="007A05A2"/>
    <w:rsid w:val="007A1072"/>
    <w:rsid w:val="007A4531"/>
    <w:rsid w:val="007A6BE4"/>
    <w:rsid w:val="007B0CD7"/>
    <w:rsid w:val="007B107B"/>
    <w:rsid w:val="007B3BBA"/>
    <w:rsid w:val="007B4C2D"/>
    <w:rsid w:val="007B4FFE"/>
    <w:rsid w:val="007B5A8A"/>
    <w:rsid w:val="007B5E8A"/>
    <w:rsid w:val="007B6B23"/>
    <w:rsid w:val="007C1137"/>
    <w:rsid w:val="007C48A5"/>
    <w:rsid w:val="007D0231"/>
    <w:rsid w:val="007D3D43"/>
    <w:rsid w:val="007D5C8A"/>
    <w:rsid w:val="007E0918"/>
    <w:rsid w:val="007E304A"/>
    <w:rsid w:val="007F1E48"/>
    <w:rsid w:val="007F5580"/>
    <w:rsid w:val="00803FAA"/>
    <w:rsid w:val="008053C8"/>
    <w:rsid w:val="008109A8"/>
    <w:rsid w:val="00811747"/>
    <w:rsid w:val="00813DB2"/>
    <w:rsid w:val="00816E79"/>
    <w:rsid w:val="008178F1"/>
    <w:rsid w:val="00820876"/>
    <w:rsid w:val="008231C9"/>
    <w:rsid w:val="00826668"/>
    <w:rsid w:val="0082712E"/>
    <w:rsid w:val="008302C6"/>
    <w:rsid w:val="008306FE"/>
    <w:rsid w:val="0083348F"/>
    <w:rsid w:val="00833FC7"/>
    <w:rsid w:val="008408B5"/>
    <w:rsid w:val="00840D60"/>
    <w:rsid w:val="0084307A"/>
    <w:rsid w:val="008454CD"/>
    <w:rsid w:val="00850503"/>
    <w:rsid w:val="0085201D"/>
    <w:rsid w:val="008545F7"/>
    <w:rsid w:val="00854FD3"/>
    <w:rsid w:val="00860952"/>
    <w:rsid w:val="008619F3"/>
    <w:rsid w:val="00861FDC"/>
    <w:rsid w:val="0086730B"/>
    <w:rsid w:val="008679B1"/>
    <w:rsid w:val="00872AB0"/>
    <w:rsid w:val="00872E24"/>
    <w:rsid w:val="008730DB"/>
    <w:rsid w:val="00882986"/>
    <w:rsid w:val="00882A82"/>
    <w:rsid w:val="0088369F"/>
    <w:rsid w:val="008939BF"/>
    <w:rsid w:val="00895CE2"/>
    <w:rsid w:val="008963BF"/>
    <w:rsid w:val="00896F49"/>
    <w:rsid w:val="0089711F"/>
    <w:rsid w:val="008A2173"/>
    <w:rsid w:val="008A39F2"/>
    <w:rsid w:val="008A55F6"/>
    <w:rsid w:val="008B29EF"/>
    <w:rsid w:val="008B466E"/>
    <w:rsid w:val="008B69DB"/>
    <w:rsid w:val="008B79DD"/>
    <w:rsid w:val="008C1A8E"/>
    <w:rsid w:val="008C2E88"/>
    <w:rsid w:val="008C3424"/>
    <w:rsid w:val="008C48EF"/>
    <w:rsid w:val="008C6BBC"/>
    <w:rsid w:val="008C7244"/>
    <w:rsid w:val="008D04F4"/>
    <w:rsid w:val="008D1A4F"/>
    <w:rsid w:val="008D3ED6"/>
    <w:rsid w:val="008D52A7"/>
    <w:rsid w:val="008D5EF8"/>
    <w:rsid w:val="008E68FA"/>
    <w:rsid w:val="008E6B20"/>
    <w:rsid w:val="008E7A18"/>
    <w:rsid w:val="008E7D19"/>
    <w:rsid w:val="008F0852"/>
    <w:rsid w:val="008F0D46"/>
    <w:rsid w:val="008F27B1"/>
    <w:rsid w:val="008F3EEC"/>
    <w:rsid w:val="008F7F13"/>
    <w:rsid w:val="00901DE8"/>
    <w:rsid w:val="00902091"/>
    <w:rsid w:val="00903641"/>
    <w:rsid w:val="00903ED7"/>
    <w:rsid w:val="00904244"/>
    <w:rsid w:val="00910135"/>
    <w:rsid w:val="00913885"/>
    <w:rsid w:val="00913D28"/>
    <w:rsid w:val="00913DF2"/>
    <w:rsid w:val="00914371"/>
    <w:rsid w:val="00916E46"/>
    <w:rsid w:val="00917F27"/>
    <w:rsid w:val="00917FA3"/>
    <w:rsid w:val="0092142D"/>
    <w:rsid w:val="00937970"/>
    <w:rsid w:val="00937E5F"/>
    <w:rsid w:val="00941768"/>
    <w:rsid w:val="00944348"/>
    <w:rsid w:val="00951158"/>
    <w:rsid w:val="0095147E"/>
    <w:rsid w:val="00954F46"/>
    <w:rsid w:val="00955A65"/>
    <w:rsid w:val="009607A5"/>
    <w:rsid w:val="009619E1"/>
    <w:rsid w:val="00961AAE"/>
    <w:rsid w:val="00963ED6"/>
    <w:rsid w:val="00967F4D"/>
    <w:rsid w:val="0097754C"/>
    <w:rsid w:val="00980E56"/>
    <w:rsid w:val="00982A2E"/>
    <w:rsid w:val="00984CE8"/>
    <w:rsid w:val="00984EE8"/>
    <w:rsid w:val="0099257B"/>
    <w:rsid w:val="00994369"/>
    <w:rsid w:val="00995496"/>
    <w:rsid w:val="0099660E"/>
    <w:rsid w:val="00996E90"/>
    <w:rsid w:val="00997658"/>
    <w:rsid w:val="009A3719"/>
    <w:rsid w:val="009A6933"/>
    <w:rsid w:val="009B09DC"/>
    <w:rsid w:val="009B3389"/>
    <w:rsid w:val="009B3BEB"/>
    <w:rsid w:val="009B4E5F"/>
    <w:rsid w:val="009B5198"/>
    <w:rsid w:val="009B60FE"/>
    <w:rsid w:val="009B7A26"/>
    <w:rsid w:val="009C080B"/>
    <w:rsid w:val="009D39AE"/>
    <w:rsid w:val="009D4BAA"/>
    <w:rsid w:val="009E1061"/>
    <w:rsid w:val="009E1F75"/>
    <w:rsid w:val="009E424D"/>
    <w:rsid w:val="009E4455"/>
    <w:rsid w:val="009E5A33"/>
    <w:rsid w:val="009E6EBC"/>
    <w:rsid w:val="009F0167"/>
    <w:rsid w:val="009F0FC2"/>
    <w:rsid w:val="009F4778"/>
    <w:rsid w:val="009F76C1"/>
    <w:rsid w:val="00A01F12"/>
    <w:rsid w:val="00A03009"/>
    <w:rsid w:val="00A05DF5"/>
    <w:rsid w:val="00A07479"/>
    <w:rsid w:val="00A11B9B"/>
    <w:rsid w:val="00A13CD7"/>
    <w:rsid w:val="00A13FB3"/>
    <w:rsid w:val="00A1419A"/>
    <w:rsid w:val="00A17704"/>
    <w:rsid w:val="00A21E56"/>
    <w:rsid w:val="00A22820"/>
    <w:rsid w:val="00A25585"/>
    <w:rsid w:val="00A31298"/>
    <w:rsid w:val="00A3392E"/>
    <w:rsid w:val="00A36851"/>
    <w:rsid w:val="00A36E37"/>
    <w:rsid w:val="00A40358"/>
    <w:rsid w:val="00A428E4"/>
    <w:rsid w:val="00A42B50"/>
    <w:rsid w:val="00A435CD"/>
    <w:rsid w:val="00A43D2E"/>
    <w:rsid w:val="00A44295"/>
    <w:rsid w:val="00A50FE2"/>
    <w:rsid w:val="00A51A01"/>
    <w:rsid w:val="00A60C70"/>
    <w:rsid w:val="00A71CF4"/>
    <w:rsid w:val="00A71E63"/>
    <w:rsid w:val="00A76382"/>
    <w:rsid w:val="00A91492"/>
    <w:rsid w:val="00A92F0A"/>
    <w:rsid w:val="00A93B5B"/>
    <w:rsid w:val="00A973E3"/>
    <w:rsid w:val="00AA09E3"/>
    <w:rsid w:val="00AA1B6B"/>
    <w:rsid w:val="00AA3CCB"/>
    <w:rsid w:val="00AA47B2"/>
    <w:rsid w:val="00AA5242"/>
    <w:rsid w:val="00AA6482"/>
    <w:rsid w:val="00AA6884"/>
    <w:rsid w:val="00AA7A01"/>
    <w:rsid w:val="00AB263B"/>
    <w:rsid w:val="00AB2FAE"/>
    <w:rsid w:val="00AB3ECA"/>
    <w:rsid w:val="00AB4A09"/>
    <w:rsid w:val="00AB4F37"/>
    <w:rsid w:val="00AB62E5"/>
    <w:rsid w:val="00AC1547"/>
    <w:rsid w:val="00AC2082"/>
    <w:rsid w:val="00AC3C5F"/>
    <w:rsid w:val="00AC562D"/>
    <w:rsid w:val="00AC5897"/>
    <w:rsid w:val="00AD285B"/>
    <w:rsid w:val="00AD4002"/>
    <w:rsid w:val="00AD4FE8"/>
    <w:rsid w:val="00AD6321"/>
    <w:rsid w:val="00AD6E64"/>
    <w:rsid w:val="00AE0303"/>
    <w:rsid w:val="00AE1CEF"/>
    <w:rsid w:val="00AE2903"/>
    <w:rsid w:val="00AE31B3"/>
    <w:rsid w:val="00AE39B0"/>
    <w:rsid w:val="00AE40B8"/>
    <w:rsid w:val="00AE51C4"/>
    <w:rsid w:val="00AE5C10"/>
    <w:rsid w:val="00AE6A93"/>
    <w:rsid w:val="00AE753A"/>
    <w:rsid w:val="00AF2E5B"/>
    <w:rsid w:val="00B0039C"/>
    <w:rsid w:val="00B0281F"/>
    <w:rsid w:val="00B029D4"/>
    <w:rsid w:val="00B02B41"/>
    <w:rsid w:val="00B14DB4"/>
    <w:rsid w:val="00B15827"/>
    <w:rsid w:val="00B17961"/>
    <w:rsid w:val="00B17B97"/>
    <w:rsid w:val="00B213F0"/>
    <w:rsid w:val="00B22DB0"/>
    <w:rsid w:val="00B273AE"/>
    <w:rsid w:val="00B30723"/>
    <w:rsid w:val="00B32BE4"/>
    <w:rsid w:val="00B447C6"/>
    <w:rsid w:val="00B4727E"/>
    <w:rsid w:val="00B50702"/>
    <w:rsid w:val="00B51D86"/>
    <w:rsid w:val="00B5530E"/>
    <w:rsid w:val="00B57415"/>
    <w:rsid w:val="00B57502"/>
    <w:rsid w:val="00B57EAF"/>
    <w:rsid w:val="00B604DD"/>
    <w:rsid w:val="00B61327"/>
    <w:rsid w:val="00B62828"/>
    <w:rsid w:val="00B6353B"/>
    <w:rsid w:val="00B64A1C"/>
    <w:rsid w:val="00B6599B"/>
    <w:rsid w:val="00B66DEA"/>
    <w:rsid w:val="00B74C5C"/>
    <w:rsid w:val="00B75BD5"/>
    <w:rsid w:val="00B76221"/>
    <w:rsid w:val="00B801F9"/>
    <w:rsid w:val="00B8185F"/>
    <w:rsid w:val="00B826C1"/>
    <w:rsid w:val="00B91763"/>
    <w:rsid w:val="00B92139"/>
    <w:rsid w:val="00B93900"/>
    <w:rsid w:val="00B94163"/>
    <w:rsid w:val="00B944CE"/>
    <w:rsid w:val="00B96EFF"/>
    <w:rsid w:val="00BA0C67"/>
    <w:rsid w:val="00BA137C"/>
    <w:rsid w:val="00BA20AD"/>
    <w:rsid w:val="00BA2F8C"/>
    <w:rsid w:val="00BA3BC1"/>
    <w:rsid w:val="00BA3E86"/>
    <w:rsid w:val="00BA4733"/>
    <w:rsid w:val="00BA59C4"/>
    <w:rsid w:val="00BB299F"/>
    <w:rsid w:val="00BB2D09"/>
    <w:rsid w:val="00BB4DC8"/>
    <w:rsid w:val="00BB5D4B"/>
    <w:rsid w:val="00BB6E61"/>
    <w:rsid w:val="00BC1217"/>
    <w:rsid w:val="00BC1E4E"/>
    <w:rsid w:val="00BC3FA0"/>
    <w:rsid w:val="00BC44CD"/>
    <w:rsid w:val="00BC5FC6"/>
    <w:rsid w:val="00BE3BFF"/>
    <w:rsid w:val="00BE4EF9"/>
    <w:rsid w:val="00BE743A"/>
    <w:rsid w:val="00BF1EA6"/>
    <w:rsid w:val="00BF3117"/>
    <w:rsid w:val="00BF56C4"/>
    <w:rsid w:val="00C0090B"/>
    <w:rsid w:val="00C01831"/>
    <w:rsid w:val="00C01D2D"/>
    <w:rsid w:val="00C02611"/>
    <w:rsid w:val="00C03D4D"/>
    <w:rsid w:val="00C06A0C"/>
    <w:rsid w:val="00C1503A"/>
    <w:rsid w:val="00C228EE"/>
    <w:rsid w:val="00C230A0"/>
    <w:rsid w:val="00C2386D"/>
    <w:rsid w:val="00C23A18"/>
    <w:rsid w:val="00C2592A"/>
    <w:rsid w:val="00C27BA5"/>
    <w:rsid w:val="00C32731"/>
    <w:rsid w:val="00C33D6C"/>
    <w:rsid w:val="00C34360"/>
    <w:rsid w:val="00C344BC"/>
    <w:rsid w:val="00C3478E"/>
    <w:rsid w:val="00C35611"/>
    <w:rsid w:val="00C35AD7"/>
    <w:rsid w:val="00C369E7"/>
    <w:rsid w:val="00C36C1F"/>
    <w:rsid w:val="00C37C64"/>
    <w:rsid w:val="00C4145D"/>
    <w:rsid w:val="00C439E8"/>
    <w:rsid w:val="00C44277"/>
    <w:rsid w:val="00C526A6"/>
    <w:rsid w:val="00C542F0"/>
    <w:rsid w:val="00C57A09"/>
    <w:rsid w:val="00C604CB"/>
    <w:rsid w:val="00C649C0"/>
    <w:rsid w:val="00C65BF6"/>
    <w:rsid w:val="00C65C90"/>
    <w:rsid w:val="00C6616D"/>
    <w:rsid w:val="00C662D2"/>
    <w:rsid w:val="00C66D3C"/>
    <w:rsid w:val="00C675FE"/>
    <w:rsid w:val="00C6779C"/>
    <w:rsid w:val="00C72579"/>
    <w:rsid w:val="00C72BF3"/>
    <w:rsid w:val="00C73CD9"/>
    <w:rsid w:val="00C73D38"/>
    <w:rsid w:val="00C75AA2"/>
    <w:rsid w:val="00C75ACD"/>
    <w:rsid w:val="00C766E9"/>
    <w:rsid w:val="00C76959"/>
    <w:rsid w:val="00C8060E"/>
    <w:rsid w:val="00C81E89"/>
    <w:rsid w:val="00C85C10"/>
    <w:rsid w:val="00C87133"/>
    <w:rsid w:val="00C872EF"/>
    <w:rsid w:val="00C873D9"/>
    <w:rsid w:val="00C87BFD"/>
    <w:rsid w:val="00C94929"/>
    <w:rsid w:val="00CA1B07"/>
    <w:rsid w:val="00CA2EA2"/>
    <w:rsid w:val="00CA3911"/>
    <w:rsid w:val="00CA45EB"/>
    <w:rsid w:val="00CA684E"/>
    <w:rsid w:val="00CA73F1"/>
    <w:rsid w:val="00CB078E"/>
    <w:rsid w:val="00CB2D96"/>
    <w:rsid w:val="00CB44B8"/>
    <w:rsid w:val="00CB537A"/>
    <w:rsid w:val="00CB6638"/>
    <w:rsid w:val="00CB6E56"/>
    <w:rsid w:val="00CC2FFA"/>
    <w:rsid w:val="00CD3398"/>
    <w:rsid w:val="00CD4807"/>
    <w:rsid w:val="00CE3F95"/>
    <w:rsid w:val="00CE70BF"/>
    <w:rsid w:val="00CE7CDE"/>
    <w:rsid w:val="00CE7EDE"/>
    <w:rsid w:val="00CF01A2"/>
    <w:rsid w:val="00CF1FBB"/>
    <w:rsid w:val="00CF3AB4"/>
    <w:rsid w:val="00CF4494"/>
    <w:rsid w:val="00CF76ED"/>
    <w:rsid w:val="00D00949"/>
    <w:rsid w:val="00D00964"/>
    <w:rsid w:val="00D03862"/>
    <w:rsid w:val="00D04CCE"/>
    <w:rsid w:val="00D05290"/>
    <w:rsid w:val="00D06053"/>
    <w:rsid w:val="00D10258"/>
    <w:rsid w:val="00D1241C"/>
    <w:rsid w:val="00D127BF"/>
    <w:rsid w:val="00D12FDB"/>
    <w:rsid w:val="00D1725F"/>
    <w:rsid w:val="00D23B62"/>
    <w:rsid w:val="00D31779"/>
    <w:rsid w:val="00D31CCE"/>
    <w:rsid w:val="00D32F57"/>
    <w:rsid w:val="00D36CD7"/>
    <w:rsid w:val="00D36DA4"/>
    <w:rsid w:val="00D37013"/>
    <w:rsid w:val="00D42970"/>
    <w:rsid w:val="00D43F2C"/>
    <w:rsid w:val="00D447F9"/>
    <w:rsid w:val="00D44A70"/>
    <w:rsid w:val="00D468E7"/>
    <w:rsid w:val="00D53F16"/>
    <w:rsid w:val="00D5767C"/>
    <w:rsid w:val="00D6072B"/>
    <w:rsid w:val="00D618F9"/>
    <w:rsid w:val="00D61A25"/>
    <w:rsid w:val="00D6392C"/>
    <w:rsid w:val="00D70A87"/>
    <w:rsid w:val="00D712CE"/>
    <w:rsid w:val="00D73FEB"/>
    <w:rsid w:val="00D74E58"/>
    <w:rsid w:val="00D810BE"/>
    <w:rsid w:val="00D82CCA"/>
    <w:rsid w:val="00D855D7"/>
    <w:rsid w:val="00D85892"/>
    <w:rsid w:val="00D87E51"/>
    <w:rsid w:val="00D90585"/>
    <w:rsid w:val="00D92EFB"/>
    <w:rsid w:val="00D934B3"/>
    <w:rsid w:val="00D94F12"/>
    <w:rsid w:val="00DA0060"/>
    <w:rsid w:val="00DA3E4A"/>
    <w:rsid w:val="00DA5DBE"/>
    <w:rsid w:val="00DB470B"/>
    <w:rsid w:val="00DB67F2"/>
    <w:rsid w:val="00DC359E"/>
    <w:rsid w:val="00DC3E89"/>
    <w:rsid w:val="00DC4E23"/>
    <w:rsid w:val="00DC5B0B"/>
    <w:rsid w:val="00DD18B6"/>
    <w:rsid w:val="00DD39B6"/>
    <w:rsid w:val="00DD7AA3"/>
    <w:rsid w:val="00DE0734"/>
    <w:rsid w:val="00DE3037"/>
    <w:rsid w:val="00DE3E33"/>
    <w:rsid w:val="00DE62F3"/>
    <w:rsid w:val="00DE7D11"/>
    <w:rsid w:val="00DE7E73"/>
    <w:rsid w:val="00DF7985"/>
    <w:rsid w:val="00E01A07"/>
    <w:rsid w:val="00E02EAE"/>
    <w:rsid w:val="00E04D32"/>
    <w:rsid w:val="00E0550C"/>
    <w:rsid w:val="00E0703A"/>
    <w:rsid w:val="00E07CD4"/>
    <w:rsid w:val="00E20C12"/>
    <w:rsid w:val="00E2578E"/>
    <w:rsid w:val="00E269A5"/>
    <w:rsid w:val="00E26EB3"/>
    <w:rsid w:val="00E30356"/>
    <w:rsid w:val="00E3046E"/>
    <w:rsid w:val="00E3096B"/>
    <w:rsid w:val="00E3438B"/>
    <w:rsid w:val="00E35AF9"/>
    <w:rsid w:val="00E40E65"/>
    <w:rsid w:val="00E41A7E"/>
    <w:rsid w:val="00E42762"/>
    <w:rsid w:val="00E42F7B"/>
    <w:rsid w:val="00E4627B"/>
    <w:rsid w:val="00E46475"/>
    <w:rsid w:val="00E51478"/>
    <w:rsid w:val="00E52978"/>
    <w:rsid w:val="00E5403E"/>
    <w:rsid w:val="00E56D5D"/>
    <w:rsid w:val="00E62E56"/>
    <w:rsid w:val="00E6630B"/>
    <w:rsid w:val="00E66E9D"/>
    <w:rsid w:val="00E72573"/>
    <w:rsid w:val="00E726F6"/>
    <w:rsid w:val="00E74841"/>
    <w:rsid w:val="00E759BB"/>
    <w:rsid w:val="00E8120D"/>
    <w:rsid w:val="00E81336"/>
    <w:rsid w:val="00E8271E"/>
    <w:rsid w:val="00E85A48"/>
    <w:rsid w:val="00E875CE"/>
    <w:rsid w:val="00E96492"/>
    <w:rsid w:val="00EA2823"/>
    <w:rsid w:val="00EA3A1A"/>
    <w:rsid w:val="00EA68B3"/>
    <w:rsid w:val="00EB13A5"/>
    <w:rsid w:val="00EB274C"/>
    <w:rsid w:val="00EB275E"/>
    <w:rsid w:val="00EB3280"/>
    <w:rsid w:val="00EB71AC"/>
    <w:rsid w:val="00EC23E7"/>
    <w:rsid w:val="00EC27B3"/>
    <w:rsid w:val="00EC34CB"/>
    <w:rsid w:val="00EC3948"/>
    <w:rsid w:val="00EC66B3"/>
    <w:rsid w:val="00EC764E"/>
    <w:rsid w:val="00ED1EA7"/>
    <w:rsid w:val="00ED25B8"/>
    <w:rsid w:val="00ED2A66"/>
    <w:rsid w:val="00ED606B"/>
    <w:rsid w:val="00ED68E0"/>
    <w:rsid w:val="00ED6BCB"/>
    <w:rsid w:val="00ED7338"/>
    <w:rsid w:val="00ED745E"/>
    <w:rsid w:val="00EE1500"/>
    <w:rsid w:val="00EE16A4"/>
    <w:rsid w:val="00EE3EDA"/>
    <w:rsid w:val="00EE795C"/>
    <w:rsid w:val="00EF101C"/>
    <w:rsid w:val="00EF1599"/>
    <w:rsid w:val="00EF1981"/>
    <w:rsid w:val="00EF221B"/>
    <w:rsid w:val="00EF6937"/>
    <w:rsid w:val="00F00E74"/>
    <w:rsid w:val="00F04710"/>
    <w:rsid w:val="00F059B9"/>
    <w:rsid w:val="00F1381F"/>
    <w:rsid w:val="00F1484B"/>
    <w:rsid w:val="00F14B8D"/>
    <w:rsid w:val="00F15904"/>
    <w:rsid w:val="00F2467C"/>
    <w:rsid w:val="00F24E00"/>
    <w:rsid w:val="00F261F4"/>
    <w:rsid w:val="00F33AE6"/>
    <w:rsid w:val="00F3409C"/>
    <w:rsid w:val="00F35DB7"/>
    <w:rsid w:val="00F3726C"/>
    <w:rsid w:val="00F377E5"/>
    <w:rsid w:val="00F37962"/>
    <w:rsid w:val="00F40726"/>
    <w:rsid w:val="00F4491E"/>
    <w:rsid w:val="00F44EED"/>
    <w:rsid w:val="00F5079E"/>
    <w:rsid w:val="00F5108A"/>
    <w:rsid w:val="00F519B3"/>
    <w:rsid w:val="00F52106"/>
    <w:rsid w:val="00F525B1"/>
    <w:rsid w:val="00F52B18"/>
    <w:rsid w:val="00F5318F"/>
    <w:rsid w:val="00F54AD0"/>
    <w:rsid w:val="00F55460"/>
    <w:rsid w:val="00F61F04"/>
    <w:rsid w:val="00F61FD2"/>
    <w:rsid w:val="00F6219C"/>
    <w:rsid w:val="00F632C9"/>
    <w:rsid w:val="00F643F1"/>
    <w:rsid w:val="00F660E2"/>
    <w:rsid w:val="00F66A01"/>
    <w:rsid w:val="00F67756"/>
    <w:rsid w:val="00F71115"/>
    <w:rsid w:val="00F745EE"/>
    <w:rsid w:val="00F76F9D"/>
    <w:rsid w:val="00F77E27"/>
    <w:rsid w:val="00F8055A"/>
    <w:rsid w:val="00F830F7"/>
    <w:rsid w:val="00F8462E"/>
    <w:rsid w:val="00F85BDE"/>
    <w:rsid w:val="00F97F95"/>
    <w:rsid w:val="00FA1489"/>
    <w:rsid w:val="00FA1804"/>
    <w:rsid w:val="00FA3963"/>
    <w:rsid w:val="00FA4B45"/>
    <w:rsid w:val="00FA5E90"/>
    <w:rsid w:val="00FA7E30"/>
    <w:rsid w:val="00FB1D86"/>
    <w:rsid w:val="00FC0D0C"/>
    <w:rsid w:val="00FC0DB9"/>
    <w:rsid w:val="00FC0F9E"/>
    <w:rsid w:val="00FC1664"/>
    <w:rsid w:val="00FC2EC4"/>
    <w:rsid w:val="00FC3C46"/>
    <w:rsid w:val="00FC57EE"/>
    <w:rsid w:val="00FC788F"/>
    <w:rsid w:val="00FD0CCA"/>
    <w:rsid w:val="00FD0E1C"/>
    <w:rsid w:val="00FE0FD5"/>
    <w:rsid w:val="00FE256D"/>
    <w:rsid w:val="00FE2939"/>
    <w:rsid w:val="00FE3466"/>
    <w:rsid w:val="00FE38D3"/>
    <w:rsid w:val="00FE504E"/>
    <w:rsid w:val="00FF0D7F"/>
    <w:rsid w:val="00FF1160"/>
    <w:rsid w:val="00FF6AAA"/>
    <w:rsid w:val="01E27E50"/>
    <w:rsid w:val="01E924B1"/>
    <w:rsid w:val="02AC7FF1"/>
    <w:rsid w:val="02B442CB"/>
    <w:rsid w:val="02D84338"/>
    <w:rsid w:val="03242DC2"/>
    <w:rsid w:val="0376626C"/>
    <w:rsid w:val="03E97CF0"/>
    <w:rsid w:val="05170FA0"/>
    <w:rsid w:val="05F56D09"/>
    <w:rsid w:val="069B49E3"/>
    <w:rsid w:val="06AE4239"/>
    <w:rsid w:val="084C0BA7"/>
    <w:rsid w:val="086A064E"/>
    <w:rsid w:val="08B46A39"/>
    <w:rsid w:val="08DA43BE"/>
    <w:rsid w:val="08EA2A07"/>
    <w:rsid w:val="09261B0E"/>
    <w:rsid w:val="095850CB"/>
    <w:rsid w:val="0A6F2300"/>
    <w:rsid w:val="0B9A2898"/>
    <w:rsid w:val="0B9C57F4"/>
    <w:rsid w:val="0C0F300F"/>
    <w:rsid w:val="0CA04344"/>
    <w:rsid w:val="0CED5CEF"/>
    <w:rsid w:val="0D486F75"/>
    <w:rsid w:val="0DD2557E"/>
    <w:rsid w:val="0DE21FA5"/>
    <w:rsid w:val="0E8B476B"/>
    <w:rsid w:val="0F30243F"/>
    <w:rsid w:val="0FAA3645"/>
    <w:rsid w:val="0FB02D4D"/>
    <w:rsid w:val="111C5C11"/>
    <w:rsid w:val="11807745"/>
    <w:rsid w:val="118E7CCF"/>
    <w:rsid w:val="11947747"/>
    <w:rsid w:val="11D45149"/>
    <w:rsid w:val="126F6F9F"/>
    <w:rsid w:val="12BE7A85"/>
    <w:rsid w:val="13155988"/>
    <w:rsid w:val="13203127"/>
    <w:rsid w:val="132034C7"/>
    <w:rsid w:val="138F57A7"/>
    <w:rsid w:val="13EB4B1B"/>
    <w:rsid w:val="141159B6"/>
    <w:rsid w:val="142C1B45"/>
    <w:rsid w:val="143E42BF"/>
    <w:rsid w:val="14875D67"/>
    <w:rsid w:val="168C360A"/>
    <w:rsid w:val="16BB1D86"/>
    <w:rsid w:val="170E0DD5"/>
    <w:rsid w:val="17E709EF"/>
    <w:rsid w:val="18F069A8"/>
    <w:rsid w:val="190B2119"/>
    <w:rsid w:val="19210E55"/>
    <w:rsid w:val="19422DF5"/>
    <w:rsid w:val="19474463"/>
    <w:rsid w:val="197F4BDD"/>
    <w:rsid w:val="199E23E0"/>
    <w:rsid w:val="1A5D684E"/>
    <w:rsid w:val="1C1945A6"/>
    <w:rsid w:val="1C8836C7"/>
    <w:rsid w:val="1CA93E95"/>
    <w:rsid w:val="1CF56512"/>
    <w:rsid w:val="1DB850F3"/>
    <w:rsid w:val="1E8D0E2D"/>
    <w:rsid w:val="1EBE7AB7"/>
    <w:rsid w:val="1EC729B5"/>
    <w:rsid w:val="1FD934AB"/>
    <w:rsid w:val="1FDD17A5"/>
    <w:rsid w:val="1FEC3751"/>
    <w:rsid w:val="208B2D5D"/>
    <w:rsid w:val="224517B2"/>
    <w:rsid w:val="22D45689"/>
    <w:rsid w:val="22FB5C17"/>
    <w:rsid w:val="23A32CCD"/>
    <w:rsid w:val="24755D01"/>
    <w:rsid w:val="247E25D4"/>
    <w:rsid w:val="25264EBA"/>
    <w:rsid w:val="25604930"/>
    <w:rsid w:val="257E57EB"/>
    <w:rsid w:val="25C07E10"/>
    <w:rsid w:val="25CE2604"/>
    <w:rsid w:val="26441734"/>
    <w:rsid w:val="267C2231"/>
    <w:rsid w:val="26D875DF"/>
    <w:rsid w:val="26E90500"/>
    <w:rsid w:val="278252BD"/>
    <w:rsid w:val="284610EB"/>
    <w:rsid w:val="285210C7"/>
    <w:rsid w:val="28B13542"/>
    <w:rsid w:val="299726B8"/>
    <w:rsid w:val="29ED0F8E"/>
    <w:rsid w:val="2A1B39A1"/>
    <w:rsid w:val="2AC619FF"/>
    <w:rsid w:val="2AEA6789"/>
    <w:rsid w:val="2B69173D"/>
    <w:rsid w:val="2D254C1E"/>
    <w:rsid w:val="2DB87AF7"/>
    <w:rsid w:val="2E351114"/>
    <w:rsid w:val="2E4B08BF"/>
    <w:rsid w:val="2F5C7C20"/>
    <w:rsid w:val="2F70325B"/>
    <w:rsid w:val="2F881294"/>
    <w:rsid w:val="2FAE43B8"/>
    <w:rsid w:val="2FDA6411"/>
    <w:rsid w:val="3001312E"/>
    <w:rsid w:val="30316E1F"/>
    <w:rsid w:val="304C3EE2"/>
    <w:rsid w:val="318158E9"/>
    <w:rsid w:val="31FD2C13"/>
    <w:rsid w:val="324B2206"/>
    <w:rsid w:val="329C4917"/>
    <w:rsid w:val="342B06E9"/>
    <w:rsid w:val="345F66D1"/>
    <w:rsid w:val="34841C38"/>
    <w:rsid w:val="36142ED0"/>
    <w:rsid w:val="36E4731F"/>
    <w:rsid w:val="37495AE0"/>
    <w:rsid w:val="37684573"/>
    <w:rsid w:val="376C732F"/>
    <w:rsid w:val="38D2679A"/>
    <w:rsid w:val="39DB29D7"/>
    <w:rsid w:val="3AA72890"/>
    <w:rsid w:val="3AAE4BAA"/>
    <w:rsid w:val="3AD021EB"/>
    <w:rsid w:val="3B02185C"/>
    <w:rsid w:val="3B7B6DE8"/>
    <w:rsid w:val="3BF666F8"/>
    <w:rsid w:val="3C031E2D"/>
    <w:rsid w:val="3C255563"/>
    <w:rsid w:val="3C3C60E0"/>
    <w:rsid w:val="3D6E68B7"/>
    <w:rsid w:val="3D8953D7"/>
    <w:rsid w:val="3DA8314F"/>
    <w:rsid w:val="3EAB0EF1"/>
    <w:rsid w:val="3F7E759C"/>
    <w:rsid w:val="3FDA7850"/>
    <w:rsid w:val="3FEF7106"/>
    <w:rsid w:val="412B3CFA"/>
    <w:rsid w:val="41C429BE"/>
    <w:rsid w:val="42BD7709"/>
    <w:rsid w:val="42EE6E5E"/>
    <w:rsid w:val="43353D4F"/>
    <w:rsid w:val="4351587E"/>
    <w:rsid w:val="43664AC7"/>
    <w:rsid w:val="43690119"/>
    <w:rsid w:val="437A16A8"/>
    <w:rsid w:val="44137856"/>
    <w:rsid w:val="44433F0D"/>
    <w:rsid w:val="44481DE9"/>
    <w:rsid w:val="448520C6"/>
    <w:rsid w:val="448652AB"/>
    <w:rsid w:val="452560C7"/>
    <w:rsid w:val="45CE0436"/>
    <w:rsid w:val="46046E68"/>
    <w:rsid w:val="46121AF7"/>
    <w:rsid w:val="47825C44"/>
    <w:rsid w:val="47847862"/>
    <w:rsid w:val="478515ED"/>
    <w:rsid w:val="482672DE"/>
    <w:rsid w:val="49CF53BF"/>
    <w:rsid w:val="4B3E20ED"/>
    <w:rsid w:val="4B8C7A6E"/>
    <w:rsid w:val="4CBF23FD"/>
    <w:rsid w:val="4D335F34"/>
    <w:rsid w:val="4D3D2E67"/>
    <w:rsid w:val="4DB33889"/>
    <w:rsid w:val="4E0F4E9D"/>
    <w:rsid w:val="4EBF66B7"/>
    <w:rsid w:val="4FEB2B3C"/>
    <w:rsid w:val="500F366E"/>
    <w:rsid w:val="50294293"/>
    <w:rsid w:val="50390CF6"/>
    <w:rsid w:val="50CF02A4"/>
    <w:rsid w:val="50E14CEA"/>
    <w:rsid w:val="50ED5530"/>
    <w:rsid w:val="51436829"/>
    <w:rsid w:val="51976D8B"/>
    <w:rsid w:val="51A7603D"/>
    <w:rsid w:val="51D052A7"/>
    <w:rsid w:val="523B04C9"/>
    <w:rsid w:val="53157CAC"/>
    <w:rsid w:val="541046FA"/>
    <w:rsid w:val="54933E9F"/>
    <w:rsid w:val="54C523C3"/>
    <w:rsid w:val="54E4539F"/>
    <w:rsid w:val="554E41E2"/>
    <w:rsid w:val="55E92A39"/>
    <w:rsid w:val="55F50BFF"/>
    <w:rsid w:val="565035EB"/>
    <w:rsid w:val="57C21C9B"/>
    <w:rsid w:val="582A7CD9"/>
    <w:rsid w:val="58B44C79"/>
    <w:rsid w:val="5918440B"/>
    <w:rsid w:val="591F56CC"/>
    <w:rsid w:val="59AA26B7"/>
    <w:rsid w:val="59C56F15"/>
    <w:rsid w:val="59EC4C60"/>
    <w:rsid w:val="5A4B1BEC"/>
    <w:rsid w:val="5A4C5C31"/>
    <w:rsid w:val="5A7413F6"/>
    <w:rsid w:val="5A7F5C91"/>
    <w:rsid w:val="5A864F9A"/>
    <w:rsid w:val="5A9224D6"/>
    <w:rsid w:val="5ABE3C26"/>
    <w:rsid w:val="5C115503"/>
    <w:rsid w:val="5C191D64"/>
    <w:rsid w:val="5C3A1C60"/>
    <w:rsid w:val="5D3D5F84"/>
    <w:rsid w:val="5DB01CA7"/>
    <w:rsid w:val="5DCC505D"/>
    <w:rsid w:val="5DD86EE5"/>
    <w:rsid w:val="5E502D78"/>
    <w:rsid w:val="5E626567"/>
    <w:rsid w:val="5EA26B50"/>
    <w:rsid w:val="5EDC5312"/>
    <w:rsid w:val="5F686CC9"/>
    <w:rsid w:val="5FE95EE5"/>
    <w:rsid w:val="601F3DA2"/>
    <w:rsid w:val="60914F6E"/>
    <w:rsid w:val="6136155E"/>
    <w:rsid w:val="61371660"/>
    <w:rsid w:val="614E674D"/>
    <w:rsid w:val="616D02E8"/>
    <w:rsid w:val="61BD4E51"/>
    <w:rsid w:val="63AB3678"/>
    <w:rsid w:val="63CB7DC7"/>
    <w:rsid w:val="63E00A96"/>
    <w:rsid w:val="64185B6E"/>
    <w:rsid w:val="64731B1D"/>
    <w:rsid w:val="654154CF"/>
    <w:rsid w:val="65517674"/>
    <w:rsid w:val="65572FA1"/>
    <w:rsid w:val="65CB62E0"/>
    <w:rsid w:val="65D84624"/>
    <w:rsid w:val="660D559A"/>
    <w:rsid w:val="663A7F07"/>
    <w:rsid w:val="66602362"/>
    <w:rsid w:val="66732231"/>
    <w:rsid w:val="66930208"/>
    <w:rsid w:val="6713335C"/>
    <w:rsid w:val="671F7621"/>
    <w:rsid w:val="679C64DC"/>
    <w:rsid w:val="683E2F1A"/>
    <w:rsid w:val="684C53AD"/>
    <w:rsid w:val="685D33B1"/>
    <w:rsid w:val="68D6415D"/>
    <w:rsid w:val="691343DA"/>
    <w:rsid w:val="69742D82"/>
    <w:rsid w:val="6A3A5233"/>
    <w:rsid w:val="6A4571B6"/>
    <w:rsid w:val="6B873576"/>
    <w:rsid w:val="6BBC7CE5"/>
    <w:rsid w:val="6C105A58"/>
    <w:rsid w:val="6CE15BB7"/>
    <w:rsid w:val="6DBF7233"/>
    <w:rsid w:val="6DF23527"/>
    <w:rsid w:val="6F171763"/>
    <w:rsid w:val="6FAA2D41"/>
    <w:rsid w:val="70591008"/>
    <w:rsid w:val="70BD6475"/>
    <w:rsid w:val="70D93327"/>
    <w:rsid w:val="723A73A9"/>
    <w:rsid w:val="727F0B16"/>
    <w:rsid w:val="73853327"/>
    <w:rsid w:val="73AD5BD0"/>
    <w:rsid w:val="74D70FDF"/>
    <w:rsid w:val="767E1A75"/>
    <w:rsid w:val="76EA6BA6"/>
    <w:rsid w:val="7713341A"/>
    <w:rsid w:val="77162EED"/>
    <w:rsid w:val="777311F9"/>
    <w:rsid w:val="79591C26"/>
    <w:rsid w:val="7AF91D43"/>
    <w:rsid w:val="7B3A0166"/>
    <w:rsid w:val="7B3E6B40"/>
    <w:rsid w:val="7C733BBF"/>
    <w:rsid w:val="7D7541E1"/>
    <w:rsid w:val="7DA33CBA"/>
    <w:rsid w:val="7DF30332"/>
    <w:rsid w:val="7E754473"/>
    <w:rsid w:val="7EE93484"/>
    <w:rsid w:val="7EED0957"/>
    <w:rsid w:val="7EFE64AB"/>
    <w:rsid w:val="7FA864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9"/>
    <w:qFormat/>
    <w:uiPriority w:val="0"/>
    <w:pPr>
      <w:keepNext/>
      <w:jc w:val="center"/>
      <w:outlineLvl w:val="0"/>
    </w:pPr>
    <w:rPr>
      <w:rFonts w:ascii="Arial Black" w:hAnsi="Arial Black"/>
      <w:sz w:val="30"/>
    </w:rPr>
  </w:style>
  <w:style w:type="paragraph" w:styleId="4">
    <w:name w:val="heading 2"/>
    <w:basedOn w:val="1"/>
    <w:next w:val="5"/>
    <w:link w:val="37"/>
    <w:qFormat/>
    <w:uiPriority w:val="0"/>
    <w:pPr>
      <w:keepNext/>
      <w:keepLines/>
      <w:spacing w:before="260" w:after="260" w:line="500" w:lineRule="exact"/>
      <w:jc w:val="center"/>
      <w:outlineLvl w:val="1"/>
    </w:pPr>
    <w:rPr>
      <w:rFonts w:ascii="仿宋_GB2312" w:hAnsi="Arial" w:eastAsia="仿宋_GB2312"/>
      <w:b/>
      <w:sz w:val="36"/>
    </w:rPr>
  </w:style>
  <w:style w:type="paragraph" w:styleId="6">
    <w:name w:val="heading 3"/>
    <w:basedOn w:val="1"/>
    <w:next w:val="5"/>
    <w:link w:val="43"/>
    <w:qFormat/>
    <w:uiPriority w:val="0"/>
    <w:pPr>
      <w:keepNext/>
      <w:keepLines/>
      <w:spacing w:before="260" w:after="260" w:line="413" w:lineRule="auto"/>
      <w:ind w:left="540"/>
      <w:outlineLvl w:val="2"/>
    </w:pPr>
    <w:rPr>
      <w:b/>
      <w:sz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6"/>
    <w:next w:val="9"/>
    <w:link w:val="44"/>
    <w:qFormat/>
    <w:uiPriority w:val="0"/>
    <w:pPr>
      <w:keepNext/>
      <w:suppressLineNumbers/>
      <w:tabs>
        <w:tab w:val="left" w:pos="2693"/>
      </w:tabs>
      <w:spacing w:before="300"/>
      <w:outlineLvl w:val="5"/>
    </w:pPr>
    <w:rPr>
      <w:rFonts w:ascii="Helvetica" w:hAnsi="Helvetica" w:eastAsia="宋体" w:cs="Times New Roman"/>
      <w:i/>
      <w:color w:val="008080"/>
      <w:lang w:val="en-US" w:eastAsia="en-US"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63"/>
    <w:qFormat/>
    <w:uiPriority w:val="0"/>
    <w:pPr>
      <w:spacing w:after="120" w:line="480" w:lineRule="auto"/>
    </w:pPr>
  </w:style>
  <w:style w:type="paragraph" w:styleId="5">
    <w:name w:val="Normal Indent"/>
    <w:basedOn w:val="1"/>
    <w:link w:val="42"/>
    <w:qFormat/>
    <w:uiPriority w:val="0"/>
    <w:pPr>
      <w:ind w:firstLine="420"/>
    </w:pPr>
  </w:style>
  <w:style w:type="paragraph" w:styleId="9">
    <w:name w:val="Body Text"/>
    <w:basedOn w:val="1"/>
    <w:qFormat/>
    <w:uiPriority w:val="0"/>
    <w:pPr>
      <w:spacing w:after="120"/>
    </w:pPr>
  </w:style>
  <w:style w:type="paragraph" w:styleId="10">
    <w:name w:val="caption"/>
    <w:basedOn w:val="1"/>
    <w:next w:val="1"/>
    <w:qFormat/>
    <w:uiPriority w:val="0"/>
    <w:rPr>
      <w:rFonts w:ascii="Arial" w:hAnsi="Arial" w:eastAsia="黑体" w:cs="Arial"/>
      <w:sz w:val="20"/>
    </w:rPr>
  </w:style>
  <w:style w:type="paragraph" w:styleId="11">
    <w:name w:val="Document Map"/>
    <w:basedOn w:val="1"/>
    <w:link w:val="36"/>
    <w:qFormat/>
    <w:uiPriority w:val="0"/>
    <w:rPr>
      <w:rFonts w:ascii="宋体" w:hAnsi="Calibri"/>
      <w:sz w:val="18"/>
      <w:szCs w:val="18"/>
    </w:rPr>
  </w:style>
  <w:style w:type="paragraph" w:styleId="12">
    <w:name w:val="annotation text"/>
    <w:basedOn w:val="1"/>
    <w:link w:val="64"/>
    <w:semiHidden/>
    <w:qFormat/>
    <w:uiPriority w:val="99"/>
    <w:pPr>
      <w:jc w:val="left"/>
    </w:pPr>
  </w:style>
  <w:style w:type="paragraph" w:styleId="13">
    <w:name w:val="Closing"/>
    <w:basedOn w:val="1"/>
    <w:link w:val="67"/>
    <w:qFormat/>
    <w:uiPriority w:val="0"/>
    <w:pPr>
      <w:adjustRightInd w:val="0"/>
      <w:spacing w:line="360" w:lineRule="atLeast"/>
      <w:jc w:val="center"/>
    </w:pPr>
    <w:rPr>
      <w:spacing w:val="60"/>
      <w:kern w:val="0"/>
      <w:sz w:val="24"/>
    </w:rPr>
  </w:style>
  <w:style w:type="paragraph" w:styleId="14">
    <w:name w:val="Body Text Indent"/>
    <w:basedOn w:val="1"/>
    <w:qFormat/>
    <w:uiPriority w:val="0"/>
    <w:pPr>
      <w:ind w:firstLine="560" w:firstLineChars="200"/>
    </w:pPr>
    <w:rPr>
      <w:rFonts w:ascii="宋体" w:hAnsi="宋体"/>
      <w:sz w:val="28"/>
    </w:rPr>
  </w:style>
  <w:style w:type="paragraph" w:styleId="15">
    <w:name w:val="toc 3"/>
    <w:basedOn w:val="1"/>
    <w:next w:val="1"/>
    <w:semiHidden/>
    <w:qFormat/>
    <w:uiPriority w:val="0"/>
    <w:pPr>
      <w:ind w:left="840" w:leftChars="400"/>
    </w:pPr>
  </w:style>
  <w:style w:type="paragraph" w:styleId="16">
    <w:name w:val="Plain Text"/>
    <w:basedOn w:val="1"/>
    <w:link w:val="45"/>
    <w:qFormat/>
    <w:uiPriority w:val="0"/>
    <w:rPr>
      <w:rFonts w:ascii="宋体" w:hAnsi="Courier New"/>
    </w:rPr>
  </w:style>
  <w:style w:type="paragraph" w:styleId="17">
    <w:name w:val="Body Text Indent 2"/>
    <w:basedOn w:val="1"/>
    <w:link w:val="38"/>
    <w:qFormat/>
    <w:uiPriority w:val="0"/>
    <w:pPr>
      <w:spacing w:after="120" w:line="480" w:lineRule="auto"/>
      <w:ind w:left="420" w:leftChars="200"/>
    </w:pPr>
    <w:rPr>
      <w:rFonts w:cs="Mangal"/>
      <w:szCs w:val="24"/>
    </w:rPr>
  </w:style>
  <w:style w:type="paragraph" w:styleId="18">
    <w:name w:val="Balloon Text"/>
    <w:basedOn w:val="1"/>
    <w:link w:val="51"/>
    <w:qFormat/>
    <w:uiPriority w:val="0"/>
    <w:rPr>
      <w:rFonts w:ascii="Calibri" w:hAnsi="Calibri"/>
      <w:sz w:val="18"/>
      <w:szCs w:val="18"/>
    </w:rPr>
  </w:style>
  <w:style w:type="paragraph" w:styleId="19">
    <w:name w:val="footer"/>
    <w:basedOn w:val="1"/>
    <w:link w:val="59"/>
    <w:qFormat/>
    <w:uiPriority w:val="0"/>
    <w:pPr>
      <w:tabs>
        <w:tab w:val="center" w:pos="4153"/>
        <w:tab w:val="right" w:pos="8306"/>
      </w:tabs>
      <w:snapToGrid w:val="0"/>
      <w:jc w:val="left"/>
    </w:pPr>
    <w:rPr>
      <w:sz w:val="18"/>
      <w:szCs w:val="18"/>
    </w:rPr>
  </w:style>
  <w:style w:type="paragraph" w:styleId="20">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Body Text Indent 3"/>
    <w:basedOn w:val="1"/>
    <w:link w:val="62"/>
    <w:qFormat/>
    <w:uiPriority w:val="0"/>
    <w:pPr>
      <w:spacing w:after="120"/>
      <w:ind w:left="420" w:leftChars="200"/>
    </w:pPr>
    <w:rPr>
      <w:sz w:val="16"/>
      <w:szCs w:val="16"/>
    </w:rPr>
  </w:style>
  <w:style w:type="paragraph" w:styleId="23">
    <w:name w:val="toc 2"/>
    <w:basedOn w:val="1"/>
    <w:next w:val="1"/>
    <w:qFormat/>
    <w:uiPriority w:val="0"/>
    <w:pPr>
      <w:ind w:left="420" w:leftChars="200"/>
    </w:pPr>
  </w:style>
  <w:style w:type="paragraph" w:styleId="24">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lang w:eastAsia="zh-TW"/>
    </w:rPr>
  </w:style>
  <w:style w:type="paragraph" w:styleId="25">
    <w:name w:val="annotation subject"/>
    <w:basedOn w:val="12"/>
    <w:next w:val="12"/>
    <w:semiHidden/>
    <w:qFormat/>
    <w:uiPriority w:val="0"/>
    <w:rPr>
      <w:b/>
      <w:bCs/>
    </w:rPr>
  </w:style>
  <w:style w:type="paragraph" w:styleId="26">
    <w:name w:val="Body Text First Indent"/>
    <w:basedOn w:val="9"/>
    <w:qFormat/>
    <w:uiPriority w:val="0"/>
    <w:pPr>
      <w:ind w:firstLine="420" w:firstLineChars="100"/>
    </w:pPr>
  </w:style>
  <w:style w:type="table" w:styleId="28">
    <w:name w:val="Table Grid"/>
    <w:basedOn w:val="2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qFormat/>
    <w:uiPriority w:val="0"/>
    <w:rPr>
      <w:color w:val="0000FF"/>
      <w:u w:val="single"/>
    </w:rPr>
  </w:style>
  <w:style w:type="character" w:styleId="34">
    <w:name w:val="annotation reference"/>
    <w:semiHidden/>
    <w:qFormat/>
    <w:uiPriority w:val="99"/>
    <w:rPr>
      <w:sz w:val="21"/>
      <w:szCs w:val="21"/>
    </w:rPr>
  </w:style>
  <w:style w:type="character" w:customStyle="1" w:styleId="35">
    <w:name w:val="第*部分 Char"/>
    <w:qFormat/>
    <w:uiPriority w:val="0"/>
    <w:rPr>
      <w:rFonts w:ascii="Times New Roman" w:hAnsi="Times New Roman" w:eastAsia="宋体" w:cs="Times New Roman"/>
      <w:b/>
      <w:bCs/>
      <w:kern w:val="44"/>
      <w:sz w:val="44"/>
      <w:szCs w:val="44"/>
    </w:rPr>
  </w:style>
  <w:style w:type="character" w:customStyle="1" w:styleId="36">
    <w:name w:val="文档结构图 Char"/>
    <w:link w:val="11"/>
    <w:qFormat/>
    <w:uiPriority w:val="0"/>
    <w:rPr>
      <w:rFonts w:ascii="宋体" w:hAnsi="Calibri" w:eastAsia="宋体"/>
      <w:kern w:val="2"/>
      <w:sz w:val="18"/>
      <w:szCs w:val="18"/>
      <w:lang w:val="en-US" w:eastAsia="zh-CN" w:bidi="ar-SA"/>
    </w:rPr>
  </w:style>
  <w:style w:type="character" w:customStyle="1" w:styleId="37">
    <w:name w:val="标题 2 Char"/>
    <w:link w:val="4"/>
    <w:qFormat/>
    <w:uiPriority w:val="0"/>
    <w:rPr>
      <w:rFonts w:ascii="仿宋_GB2312" w:hAnsi="Arial" w:eastAsia="仿宋_GB2312"/>
      <w:b/>
      <w:kern w:val="2"/>
      <w:sz w:val="36"/>
      <w:lang w:val="en-US" w:eastAsia="zh-CN" w:bidi="ar-SA"/>
    </w:rPr>
  </w:style>
  <w:style w:type="character" w:customStyle="1" w:styleId="38">
    <w:name w:val="正文文本缩进 2 Char"/>
    <w:link w:val="17"/>
    <w:qFormat/>
    <w:uiPriority w:val="0"/>
    <w:rPr>
      <w:rFonts w:eastAsia="宋体" w:cs="Mangal"/>
      <w:kern w:val="2"/>
      <w:sz w:val="21"/>
      <w:szCs w:val="24"/>
      <w:lang w:val="en-US" w:eastAsia="zh-CN" w:bidi="ar-SA"/>
    </w:rPr>
  </w:style>
  <w:style w:type="character" w:customStyle="1" w:styleId="39">
    <w:name w:val="标题 1 Char"/>
    <w:link w:val="3"/>
    <w:qFormat/>
    <w:uiPriority w:val="0"/>
    <w:rPr>
      <w:rFonts w:ascii="Arial Black" w:hAnsi="Arial Black" w:eastAsia="宋体"/>
      <w:kern w:val="2"/>
      <w:sz w:val="30"/>
      <w:lang w:val="en-US" w:eastAsia="zh-CN" w:bidi="ar-SA"/>
    </w:rPr>
  </w:style>
  <w:style w:type="character" w:customStyle="1" w:styleId="40">
    <w:name w:val="1.1.1.1样式 Char Char"/>
    <w:link w:val="41"/>
    <w:qFormat/>
    <w:uiPriority w:val="0"/>
    <w:rPr>
      <w:rFonts w:eastAsia="宋体"/>
      <w:kern w:val="2"/>
      <w:sz w:val="21"/>
      <w:szCs w:val="24"/>
      <w:lang w:val="zh-CN" w:eastAsia="zh-CN" w:bidi="ar-SA"/>
    </w:rPr>
  </w:style>
  <w:style w:type="paragraph" w:customStyle="1" w:styleId="41">
    <w:name w:val="1.1.1.1样式"/>
    <w:basedOn w:val="1"/>
    <w:link w:val="40"/>
    <w:qFormat/>
    <w:uiPriority w:val="0"/>
    <w:pPr>
      <w:tabs>
        <w:tab w:val="left" w:pos="851"/>
      </w:tabs>
      <w:ind w:left="1680" w:hanging="420"/>
    </w:pPr>
    <w:rPr>
      <w:szCs w:val="24"/>
      <w:lang w:val="zh-CN"/>
    </w:rPr>
  </w:style>
  <w:style w:type="character" w:customStyle="1" w:styleId="42">
    <w:name w:val="正文缩进 Char"/>
    <w:link w:val="5"/>
    <w:qFormat/>
    <w:uiPriority w:val="0"/>
    <w:rPr>
      <w:rFonts w:eastAsia="宋体"/>
      <w:kern w:val="2"/>
      <w:sz w:val="21"/>
      <w:lang w:val="en-US" w:eastAsia="zh-CN" w:bidi="ar-SA"/>
    </w:rPr>
  </w:style>
  <w:style w:type="character" w:customStyle="1" w:styleId="43">
    <w:name w:val="标题 3 Char"/>
    <w:link w:val="6"/>
    <w:qFormat/>
    <w:uiPriority w:val="0"/>
    <w:rPr>
      <w:rFonts w:eastAsia="宋体"/>
      <w:b/>
      <w:kern w:val="2"/>
      <w:sz w:val="32"/>
      <w:lang w:val="en-US" w:eastAsia="zh-CN" w:bidi="ar-SA"/>
    </w:rPr>
  </w:style>
  <w:style w:type="character" w:customStyle="1" w:styleId="44">
    <w:name w:val="标题 6 Char"/>
    <w:link w:val="8"/>
    <w:qFormat/>
    <w:uiPriority w:val="0"/>
    <w:rPr>
      <w:rFonts w:ascii="Helvetica" w:hAnsi="Helvetica"/>
      <w:i/>
      <w:color w:val="008080"/>
      <w:lang w:val="en-US" w:eastAsia="en-US" w:bidi="ar-SA"/>
    </w:rPr>
  </w:style>
  <w:style w:type="character" w:customStyle="1" w:styleId="45">
    <w:name w:val="纯文本 Char"/>
    <w:link w:val="16"/>
    <w:qFormat/>
    <w:uiPriority w:val="0"/>
    <w:rPr>
      <w:rFonts w:ascii="宋体" w:hAnsi="Courier New" w:eastAsia="宋体"/>
      <w:kern w:val="2"/>
      <w:sz w:val="21"/>
      <w:lang w:val="en-US" w:eastAsia="zh-CN" w:bidi="ar-SA"/>
    </w:rPr>
  </w:style>
  <w:style w:type="character" w:customStyle="1" w:styleId="46">
    <w:name w:val="页眉 Char"/>
    <w:link w:val="20"/>
    <w:qFormat/>
    <w:uiPriority w:val="0"/>
    <w:rPr>
      <w:rFonts w:eastAsia="宋体"/>
      <w:kern w:val="2"/>
      <w:sz w:val="18"/>
      <w:szCs w:val="18"/>
      <w:lang w:val="en-US" w:eastAsia="zh-CN" w:bidi="ar-SA"/>
    </w:rPr>
  </w:style>
  <w:style w:type="character" w:customStyle="1" w:styleId="47">
    <w:name w:val="正文文字 Char Char"/>
    <w:link w:val="48"/>
    <w:qFormat/>
    <w:uiPriority w:val="0"/>
    <w:rPr>
      <w:rFonts w:ascii="Arial" w:hAnsi="Arial" w:eastAsia="宋体"/>
      <w:kern w:val="2"/>
      <w:sz w:val="24"/>
      <w:lang w:val="en-US" w:eastAsia="zh-CN" w:bidi="ar-SA"/>
    </w:rPr>
  </w:style>
  <w:style w:type="paragraph" w:customStyle="1" w:styleId="48">
    <w:name w:val="正文文字"/>
    <w:basedOn w:val="1"/>
    <w:link w:val="47"/>
    <w:qFormat/>
    <w:uiPriority w:val="0"/>
    <w:pPr>
      <w:widowControl/>
      <w:spacing w:line="2375" w:lineRule="atLeast"/>
      <w:ind w:firstLine="419"/>
      <w:textAlignment w:val="baseline"/>
    </w:pPr>
    <w:rPr>
      <w:rFonts w:ascii="Arial" w:hAnsi="Arial"/>
      <w:sz w:val="24"/>
    </w:rPr>
  </w:style>
  <w:style w:type="character" w:customStyle="1" w:styleId="49">
    <w:name w:val="Title3 Char Char"/>
    <w:link w:val="50"/>
    <w:qFormat/>
    <w:uiPriority w:val="0"/>
    <w:rPr>
      <w:rFonts w:ascii="Arial" w:hAnsi="Arial" w:eastAsia="宋体"/>
      <w:kern w:val="2"/>
      <w:sz w:val="21"/>
      <w:lang w:val="en-US" w:eastAsia="en-US" w:bidi="ar-SA"/>
    </w:rPr>
  </w:style>
  <w:style w:type="paragraph" w:customStyle="1" w:styleId="50">
    <w:name w:val="Title3"/>
    <w:basedOn w:val="9"/>
    <w:link w:val="49"/>
    <w:qFormat/>
    <w:uiPriority w:val="0"/>
    <w:pPr>
      <w:widowControl/>
      <w:suppressLineNumbers/>
      <w:spacing w:before="200" w:after="60"/>
      <w:jc w:val="left"/>
    </w:pPr>
    <w:rPr>
      <w:rFonts w:ascii="Arial" w:hAnsi="Arial"/>
      <w:lang w:eastAsia="en-US"/>
    </w:rPr>
  </w:style>
  <w:style w:type="character" w:customStyle="1" w:styleId="51">
    <w:name w:val="批注框文本 Char"/>
    <w:link w:val="18"/>
    <w:qFormat/>
    <w:uiPriority w:val="0"/>
    <w:rPr>
      <w:rFonts w:ascii="Calibri" w:hAnsi="Calibri" w:eastAsia="宋体"/>
      <w:kern w:val="2"/>
      <w:sz w:val="18"/>
      <w:szCs w:val="18"/>
      <w:lang w:val="en-US" w:eastAsia="zh-CN" w:bidi="ar-SA"/>
    </w:rPr>
  </w:style>
  <w:style w:type="character" w:customStyle="1" w:styleId="52">
    <w:name w:val="Table Text Char1"/>
    <w:link w:val="53"/>
    <w:qFormat/>
    <w:uiPriority w:val="0"/>
    <w:rPr>
      <w:rFonts w:ascii="Arial" w:hAnsi="Arial"/>
      <w:kern w:val="2"/>
      <w:sz w:val="18"/>
      <w:szCs w:val="24"/>
      <w:lang w:val="en-US" w:eastAsia="en-US" w:bidi="ar-SA"/>
    </w:rPr>
  </w:style>
  <w:style w:type="paragraph" w:customStyle="1" w:styleId="53">
    <w:name w:val="Table Text"/>
    <w:link w:val="52"/>
    <w:qFormat/>
    <w:uiPriority w:val="0"/>
    <w:pPr>
      <w:snapToGrid w:val="0"/>
      <w:spacing w:before="80" w:after="80"/>
    </w:pPr>
    <w:rPr>
      <w:rFonts w:ascii="Arial" w:hAnsi="Arial" w:eastAsia="宋体" w:cs="Times New Roman"/>
      <w:kern w:val="2"/>
      <w:sz w:val="18"/>
      <w:szCs w:val="24"/>
      <w:lang w:val="en-US" w:eastAsia="en-US" w:bidi="ar-SA"/>
    </w:rPr>
  </w:style>
  <w:style w:type="character" w:customStyle="1" w:styleId="54">
    <w:name w:val="普通文字 Char"/>
    <w:qFormat/>
    <w:uiPriority w:val="0"/>
    <w:rPr>
      <w:rFonts w:ascii="宋体" w:hAnsi="Courier New" w:eastAsia="宋体" w:cs="Times New Roman"/>
      <w:szCs w:val="20"/>
    </w:rPr>
  </w:style>
  <w:style w:type="character" w:customStyle="1" w:styleId="55">
    <w:name w:val="正文首行缩进 Char"/>
    <w:link w:val="56"/>
    <w:qFormat/>
    <w:uiPriority w:val="0"/>
    <w:rPr>
      <w:rFonts w:ascii="Arial" w:hAnsi="Arial" w:eastAsia="宋体"/>
      <w:kern w:val="2"/>
      <w:sz w:val="24"/>
      <w:szCs w:val="24"/>
      <w:lang w:val="en-US" w:eastAsia="zh-CN" w:bidi="ar-SA"/>
    </w:rPr>
  </w:style>
  <w:style w:type="paragraph" w:customStyle="1" w:styleId="56">
    <w:name w:val="Body Text First Indent1"/>
    <w:basedOn w:val="9"/>
    <w:link w:val="55"/>
    <w:qFormat/>
    <w:uiPriority w:val="0"/>
    <w:pPr>
      <w:ind w:firstLine="420"/>
    </w:pPr>
    <w:rPr>
      <w:rFonts w:ascii="Arial" w:hAnsi="Arial"/>
      <w:sz w:val="24"/>
      <w:szCs w:val="24"/>
    </w:rPr>
  </w:style>
  <w:style w:type="character" w:customStyle="1" w:styleId="57">
    <w:name w:val="1.1.1样式 Char Char"/>
    <w:link w:val="58"/>
    <w:qFormat/>
    <w:uiPriority w:val="0"/>
    <w:rPr>
      <w:rFonts w:ascii="宋体" w:hAnsi="宋体" w:eastAsia="宋体"/>
      <w:kern w:val="2"/>
      <w:sz w:val="24"/>
      <w:lang w:val="en-US" w:eastAsia="zh-CN" w:bidi="ar-SA"/>
    </w:rPr>
  </w:style>
  <w:style w:type="paragraph" w:customStyle="1" w:styleId="58">
    <w:name w:val="1.1.1样式"/>
    <w:basedOn w:val="1"/>
    <w:link w:val="57"/>
    <w:qFormat/>
    <w:uiPriority w:val="0"/>
    <w:pPr>
      <w:tabs>
        <w:tab w:val="left" w:pos="720"/>
      </w:tabs>
      <w:spacing w:line="360" w:lineRule="auto"/>
      <w:ind w:left="720" w:hanging="720"/>
    </w:pPr>
    <w:rPr>
      <w:rFonts w:ascii="宋体" w:hAnsi="宋体"/>
      <w:sz w:val="24"/>
    </w:rPr>
  </w:style>
  <w:style w:type="character" w:customStyle="1" w:styleId="59">
    <w:name w:val="页脚 Char"/>
    <w:link w:val="19"/>
    <w:qFormat/>
    <w:uiPriority w:val="0"/>
    <w:rPr>
      <w:rFonts w:eastAsia="宋体"/>
      <w:kern w:val="2"/>
      <w:sz w:val="18"/>
      <w:szCs w:val="18"/>
      <w:lang w:val="en-US" w:eastAsia="zh-CN" w:bidi="ar-SA"/>
    </w:rPr>
  </w:style>
  <w:style w:type="character" w:customStyle="1" w:styleId="60">
    <w:name w:val="Author Char Char"/>
    <w:link w:val="61"/>
    <w:qFormat/>
    <w:uiPriority w:val="0"/>
    <w:rPr>
      <w:rFonts w:ascii="Arial" w:hAnsi="Arial" w:eastAsia="宋体"/>
      <w:kern w:val="2"/>
      <w:sz w:val="21"/>
      <w:lang w:val="en-US" w:eastAsia="en-US" w:bidi="ar-SA"/>
    </w:rPr>
  </w:style>
  <w:style w:type="paragraph" w:customStyle="1" w:styleId="61">
    <w:name w:val="Author"/>
    <w:basedOn w:val="50"/>
    <w:next w:val="9"/>
    <w:link w:val="60"/>
    <w:qFormat/>
    <w:uiPriority w:val="0"/>
    <w:pPr>
      <w:spacing w:before="500"/>
    </w:pPr>
  </w:style>
  <w:style w:type="character" w:customStyle="1" w:styleId="62">
    <w:name w:val="正文文本缩进 3 Char"/>
    <w:link w:val="22"/>
    <w:qFormat/>
    <w:uiPriority w:val="0"/>
    <w:rPr>
      <w:kern w:val="2"/>
      <w:sz w:val="16"/>
      <w:szCs w:val="16"/>
    </w:rPr>
  </w:style>
  <w:style w:type="character" w:customStyle="1" w:styleId="63">
    <w:name w:val="正文文本 2 Char"/>
    <w:link w:val="2"/>
    <w:qFormat/>
    <w:uiPriority w:val="0"/>
    <w:rPr>
      <w:kern w:val="2"/>
      <w:sz w:val="21"/>
    </w:rPr>
  </w:style>
  <w:style w:type="character" w:customStyle="1" w:styleId="64">
    <w:name w:val="批注文字 Char"/>
    <w:link w:val="12"/>
    <w:semiHidden/>
    <w:qFormat/>
    <w:uiPriority w:val="99"/>
    <w:rPr>
      <w:kern w:val="2"/>
      <w:sz w:val="21"/>
    </w:rPr>
  </w:style>
  <w:style w:type="character" w:customStyle="1" w:styleId="65">
    <w:name w:val="List Paragraph Char"/>
    <w:link w:val="66"/>
    <w:qFormat/>
    <w:locked/>
    <w:uiPriority w:val="0"/>
    <w:rPr>
      <w:rFonts w:ascii="Calibri" w:hAnsi="Calibri"/>
      <w:kern w:val="2"/>
      <w:sz w:val="21"/>
      <w:szCs w:val="22"/>
    </w:rPr>
  </w:style>
  <w:style w:type="paragraph" w:customStyle="1" w:styleId="66">
    <w:name w:val="列出段落11"/>
    <w:basedOn w:val="1"/>
    <w:link w:val="65"/>
    <w:unhideWhenUsed/>
    <w:qFormat/>
    <w:uiPriority w:val="0"/>
    <w:pPr>
      <w:spacing w:after="160" w:line="259" w:lineRule="auto"/>
      <w:ind w:firstLine="420" w:firstLineChars="200"/>
    </w:pPr>
    <w:rPr>
      <w:rFonts w:ascii="Calibri" w:hAnsi="Calibri"/>
      <w:szCs w:val="22"/>
    </w:rPr>
  </w:style>
  <w:style w:type="character" w:customStyle="1" w:styleId="67">
    <w:name w:val="结束语 Char"/>
    <w:basedOn w:val="29"/>
    <w:link w:val="13"/>
    <w:qFormat/>
    <w:uiPriority w:val="0"/>
    <w:rPr>
      <w:spacing w:val="60"/>
      <w:sz w:val="24"/>
    </w:rPr>
  </w:style>
  <w:style w:type="paragraph" w:customStyle="1" w:styleId="68">
    <w:name w:val="样式3"/>
    <w:basedOn w:val="9"/>
    <w:qFormat/>
    <w:uiPriority w:val="0"/>
    <w:pPr>
      <w:spacing w:line="360" w:lineRule="auto"/>
    </w:pPr>
    <w:rPr>
      <w:rFonts w:ascii="宋体"/>
    </w:rPr>
  </w:style>
  <w:style w:type="paragraph" w:customStyle="1" w:styleId="69">
    <w:name w:val="正文首行缩进2"/>
    <w:basedOn w:val="1"/>
    <w:qFormat/>
    <w:uiPriority w:val="0"/>
    <w:pPr>
      <w:spacing w:line="360" w:lineRule="auto"/>
      <w:ind w:firstLine="200" w:firstLineChars="200"/>
    </w:pPr>
    <w:rPr>
      <w:sz w:val="24"/>
      <w:szCs w:val="24"/>
    </w:rPr>
  </w:style>
  <w:style w:type="paragraph" w:customStyle="1" w:styleId="70">
    <w:name w:val="Default Paragraph Font Para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1">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列出段落1"/>
    <w:basedOn w:val="1"/>
    <w:qFormat/>
    <w:uiPriority w:val="0"/>
    <w:pPr>
      <w:ind w:firstLine="420" w:firstLineChars="200"/>
    </w:pPr>
    <w:rPr>
      <w:rFonts w:ascii="Calibri" w:hAnsi="Calibri"/>
      <w:szCs w:val="22"/>
    </w:rPr>
  </w:style>
  <w:style w:type="paragraph" w:customStyle="1" w:styleId="73">
    <w:name w:val="样式 段后: 0 磅 行距: 单倍行距"/>
    <w:basedOn w:val="1"/>
    <w:qFormat/>
    <w:uiPriority w:val="0"/>
    <w:pPr>
      <w:spacing w:line="360" w:lineRule="auto"/>
      <w:ind w:firstLine="499"/>
    </w:pPr>
    <w:rPr>
      <w:rFonts w:ascii="宋体"/>
      <w:sz w:val="24"/>
    </w:rPr>
  </w:style>
  <w:style w:type="paragraph" w:customStyle="1" w:styleId="74">
    <w:name w:val="Char Char Char Char Char Char Char"/>
    <w:basedOn w:val="1"/>
    <w:qFormat/>
    <w:uiPriority w:val="0"/>
    <w:pPr>
      <w:spacing w:line="360" w:lineRule="auto"/>
      <w:ind w:firstLine="480" w:firstLineChars="200"/>
    </w:pPr>
    <w:rPr>
      <w:rFonts w:hint="eastAsia" w:ascii="Tahoma" w:hAnsi="Tahoma" w:eastAsia="仿宋_GB2312"/>
      <w:sz w:val="28"/>
    </w:rPr>
  </w:style>
  <w:style w:type="paragraph" w:customStyle="1" w:styleId="75">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76">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77">
    <w:name w:val="Char1 Char Char"/>
    <w:basedOn w:val="1"/>
    <w:qFormat/>
    <w:uiPriority w:val="0"/>
    <w:pPr>
      <w:widowControl/>
      <w:spacing w:line="400" w:lineRule="exact"/>
      <w:jc w:val="center"/>
    </w:pPr>
    <w:rPr>
      <w:rFonts w:ascii="Verdana" w:hAnsi="Verdana"/>
      <w:kern w:val="0"/>
      <w:lang w:eastAsia="en-US"/>
    </w:rPr>
  </w:style>
  <w:style w:type="paragraph" w:customStyle="1" w:styleId="78">
    <w:name w:val="Char Char Char Char"/>
    <w:basedOn w:val="1"/>
    <w:qFormat/>
    <w:uiPriority w:val="0"/>
    <w:rPr>
      <w:rFonts w:ascii="Tahoma" w:hAnsi="Tahoma"/>
      <w:sz w:val="24"/>
    </w:rPr>
  </w:style>
  <w:style w:type="paragraph" w:customStyle="1" w:styleId="79">
    <w:name w:val="p15"/>
    <w:basedOn w:val="1"/>
    <w:qFormat/>
    <w:uiPriority w:val="0"/>
    <w:pPr>
      <w:widowControl/>
      <w:ind w:left="720"/>
    </w:pPr>
    <w:rPr>
      <w:kern w:val="0"/>
      <w:szCs w:val="21"/>
    </w:rPr>
  </w:style>
  <w:style w:type="paragraph" w:customStyle="1" w:styleId="80">
    <w:name w:val="pa-4"/>
    <w:basedOn w:val="1"/>
    <w:qFormat/>
    <w:uiPriority w:val="0"/>
    <w:pPr>
      <w:widowControl/>
      <w:spacing w:before="150" w:after="150"/>
      <w:jc w:val="left"/>
    </w:pPr>
    <w:rPr>
      <w:rFonts w:ascii="宋体" w:hAnsi="宋体" w:cs="宋体"/>
      <w:kern w:val="0"/>
      <w:sz w:val="24"/>
      <w:szCs w:val="24"/>
    </w:rPr>
  </w:style>
  <w:style w:type="paragraph" w:customStyle="1" w:styleId="81">
    <w:name w:val="Char Char3"/>
    <w:basedOn w:val="1"/>
    <w:qFormat/>
    <w:uiPriority w:val="0"/>
  </w:style>
  <w:style w:type="paragraph" w:customStyle="1" w:styleId="82">
    <w:name w:val="图注"/>
    <w:basedOn w:val="10"/>
    <w:next w:val="26"/>
    <w:qFormat/>
    <w:uiPriority w:val="0"/>
    <w:pPr>
      <w:ind w:firstLine="109" w:firstLineChars="50"/>
    </w:pPr>
    <w:rPr>
      <w:rFonts w:ascii="宋体" w:hAnsi="宋体" w:eastAsia="宋体" w:cs="Times New Roman"/>
      <w:bCs/>
      <w:color w:val="000000"/>
      <w:spacing w:val="4"/>
      <w:sz w:val="21"/>
      <w:szCs w:val="24"/>
    </w:rPr>
  </w:style>
  <w:style w:type="paragraph" w:customStyle="1" w:styleId="83">
    <w:name w:val="列出段落12"/>
    <w:basedOn w:val="1"/>
    <w:qFormat/>
    <w:uiPriority w:val="34"/>
    <w:pPr>
      <w:ind w:left="720"/>
      <w:contextualSpacing/>
    </w:pPr>
  </w:style>
  <w:style w:type="paragraph" w:customStyle="1" w:styleId="84">
    <w:name w:val="p0"/>
    <w:basedOn w:val="1"/>
    <w:qFormat/>
    <w:uiPriority w:val="0"/>
    <w:pPr>
      <w:widowControl/>
    </w:pPr>
    <w:rPr>
      <w:kern w:val="0"/>
      <w:szCs w:val="21"/>
    </w:rPr>
  </w:style>
  <w:style w:type="paragraph" w:customStyle="1" w:styleId="85">
    <w:name w:val="_Style 63"/>
    <w:basedOn w:val="1"/>
    <w:qFormat/>
    <w:uiPriority w:val="0"/>
    <w:pPr>
      <w:widowControl/>
      <w:spacing w:after="160" w:line="240" w:lineRule="exact"/>
      <w:jc w:val="left"/>
    </w:pPr>
    <w:rPr>
      <w:szCs w:val="24"/>
    </w:rPr>
  </w:style>
  <w:style w:type="paragraph" w:customStyle="1" w:styleId="86">
    <w:name w:val="Char Char4 Char Char"/>
    <w:basedOn w:val="1"/>
    <w:qFormat/>
    <w:uiPriority w:val="0"/>
    <w:pPr>
      <w:widowControl/>
      <w:spacing w:after="160" w:line="240" w:lineRule="exact"/>
      <w:jc w:val="left"/>
    </w:pPr>
    <w:rPr>
      <w:szCs w:val="24"/>
    </w:rPr>
  </w:style>
  <w:style w:type="paragraph" w:customStyle="1" w:styleId="87">
    <w:name w:val="Char Char1 Char Char Char Char1"/>
    <w:basedOn w:val="1"/>
    <w:qFormat/>
    <w:uiPriority w:val="0"/>
    <w:pPr>
      <w:spacing w:line="360" w:lineRule="auto"/>
    </w:pPr>
    <w:rPr>
      <w:rFonts w:ascii="Tahoma" w:hAnsi="Tahoma"/>
      <w:sz w:val="24"/>
    </w:rPr>
  </w:style>
  <w:style w:type="paragraph" w:customStyle="1" w:styleId="88">
    <w:name w:val="修订1"/>
    <w:semiHidden/>
    <w:qFormat/>
    <w:uiPriority w:val="99"/>
    <w:rPr>
      <w:rFonts w:ascii="Times New Roman" w:hAnsi="Times New Roman" w:eastAsia="宋体" w:cs="Times New Roman"/>
      <w:kern w:val="2"/>
      <w:sz w:val="21"/>
      <w:lang w:val="en-US" w:eastAsia="zh-CN" w:bidi="ar-SA"/>
    </w:rPr>
  </w:style>
  <w:style w:type="paragraph" w:customStyle="1" w:styleId="89">
    <w:name w:val="正文序号 2"/>
    <w:basedOn w:val="1"/>
    <w:qFormat/>
    <w:uiPriority w:val="0"/>
    <w:pPr>
      <w:tabs>
        <w:tab w:val="left" w:pos="840"/>
        <w:tab w:val="left" w:pos="1049"/>
      </w:tabs>
      <w:spacing w:before="60"/>
      <w:ind w:left="840" w:hanging="420"/>
    </w:pPr>
    <w:rPr>
      <w:szCs w:val="24"/>
    </w:rPr>
  </w:style>
  <w:style w:type="paragraph" w:customStyle="1" w:styleId="90">
    <w:name w:val="Char1 Char Char1"/>
    <w:basedOn w:val="1"/>
    <w:qFormat/>
    <w:uiPriority w:val="0"/>
    <w:pPr>
      <w:widowControl/>
      <w:spacing w:line="400" w:lineRule="exact"/>
      <w:jc w:val="center"/>
    </w:pPr>
    <w:rPr>
      <w:rFonts w:ascii="Verdana" w:hAnsi="Verdana"/>
      <w:kern w:val="0"/>
      <w:lang w:eastAsia="en-US"/>
    </w:rPr>
  </w:style>
  <w:style w:type="paragraph" w:customStyle="1" w:styleId="91">
    <w:name w:val="正文序号 1"/>
    <w:basedOn w:val="1"/>
    <w:qFormat/>
    <w:uiPriority w:val="0"/>
    <w:pPr>
      <w:tabs>
        <w:tab w:val="left" w:pos="720"/>
        <w:tab w:val="left" w:pos="839"/>
      </w:tabs>
      <w:spacing w:before="60"/>
      <w:ind w:left="720" w:hanging="720"/>
    </w:pPr>
    <w:rPr>
      <w:szCs w:val="24"/>
    </w:rPr>
  </w:style>
  <w:style w:type="paragraph" w:customStyle="1" w:styleId="92">
    <w:name w:val="Char Char Char Char Char Char Char Char Char Char Char Char Char Char Char Char1"/>
    <w:basedOn w:val="1"/>
    <w:qFormat/>
    <w:uiPriority w:val="0"/>
    <w:pPr>
      <w:tabs>
        <w:tab w:val="left" w:pos="360"/>
      </w:tabs>
      <w:spacing w:line="360" w:lineRule="auto"/>
      <w:ind w:left="482" w:firstLine="200" w:firstLineChars="200"/>
    </w:pPr>
  </w:style>
  <w:style w:type="paragraph" w:customStyle="1" w:styleId="93">
    <w:name w:val="正文序号 3"/>
    <w:basedOn w:val="1"/>
    <w:qFormat/>
    <w:uiPriority w:val="0"/>
    <w:pPr>
      <w:tabs>
        <w:tab w:val="left" w:pos="1259"/>
        <w:tab w:val="left" w:pos="1260"/>
      </w:tabs>
      <w:spacing w:before="60"/>
      <w:ind w:left="1260" w:hanging="420"/>
    </w:pPr>
    <w:rPr>
      <w:szCs w:val="24"/>
    </w:rPr>
  </w:style>
  <w:style w:type="paragraph" w:customStyle="1" w:styleId="94">
    <w:name w:val="Char Char1 Char Char Char Char"/>
    <w:basedOn w:val="1"/>
    <w:qFormat/>
    <w:uiPriority w:val="0"/>
    <w:pPr>
      <w:spacing w:line="360" w:lineRule="auto"/>
    </w:pPr>
    <w:rPr>
      <w:rFonts w:ascii="Tahoma" w:hAnsi="Tahoma"/>
      <w:sz w:val="24"/>
    </w:rPr>
  </w:style>
  <w:style w:type="paragraph" w:customStyle="1" w:styleId="95">
    <w:name w:val="修订11"/>
    <w:semiHidden/>
    <w:qFormat/>
    <w:uiPriority w:val="99"/>
    <w:rPr>
      <w:rFonts w:ascii="Times New Roman" w:hAnsi="Times New Roman" w:eastAsia="宋体" w:cs="Times New Roman"/>
      <w:kern w:val="2"/>
      <w:sz w:val="21"/>
      <w:lang w:val="en-US" w:eastAsia="zh-CN" w:bidi="ar-SA"/>
    </w:rPr>
  </w:style>
  <w:style w:type="paragraph" w:customStyle="1" w:styleId="96">
    <w:name w:val="Char Char Char Char1"/>
    <w:basedOn w:val="1"/>
    <w:qFormat/>
    <w:uiPriority w:val="0"/>
    <w:rPr>
      <w:rFonts w:ascii="Tahoma" w:hAnsi="Tahoma"/>
      <w:sz w:val="24"/>
    </w:rPr>
  </w:style>
  <w:style w:type="paragraph" w:customStyle="1" w:styleId="97">
    <w:name w:val="msolistparagraph"/>
    <w:basedOn w:val="1"/>
    <w:qFormat/>
    <w:uiPriority w:val="0"/>
    <w:pPr>
      <w:ind w:firstLine="420" w:firstLineChars="200"/>
    </w:pPr>
    <w:rPr>
      <w:rFonts w:ascii="Calibri" w:hAnsi="Calibri"/>
      <w:szCs w:val="22"/>
    </w:rPr>
  </w:style>
  <w:style w:type="paragraph" w:customStyle="1" w:styleId="98">
    <w:name w:val="正文序号 4"/>
    <w:basedOn w:val="1"/>
    <w:qFormat/>
    <w:uiPriority w:val="0"/>
    <w:pPr>
      <w:tabs>
        <w:tab w:val="left" w:pos="1469"/>
        <w:tab w:val="left" w:pos="1680"/>
      </w:tabs>
      <w:spacing w:before="60"/>
      <w:ind w:left="1680" w:hanging="420"/>
    </w:pPr>
    <w:rPr>
      <w:szCs w:val="24"/>
    </w:rPr>
  </w:style>
  <w:style w:type="paragraph" w:customStyle="1" w:styleId="99">
    <w:name w:val="表"/>
    <w:basedOn w:val="1"/>
    <w:next w:val="1"/>
    <w:qFormat/>
    <w:uiPriority w:val="7"/>
    <w:pPr>
      <w:jc w:val="center"/>
    </w:pPr>
  </w:style>
  <w:style w:type="paragraph" w:customStyle="1" w:styleId="100">
    <w:name w:val="表 靠左"/>
    <w:basedOn w:val="99"/>
    <w:qFormat/>
    <w:uiPriority w:val="0"/>
    <w:pPr>
      <w:jc w:val="left"/>
    </w:pPr>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53</Pages>
  <Words>4382</Words>
  <Characters>24982</Characters>
  <Lines>208</Lines>
  <Paragraphs>58</Paragraphs>
  <TotalTime>5</TotalTime>
  <ScaleCrop>false</ScaleCrop>
  <LinksUpToDate>false</LinksUpToDate>
  <CharactersWithSpaces>29306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2019-07-02T03:52:00Z</dcterms:created>
  <dc:creator>雨林木风</dc:creator>
  <cp:lastModifiedBy>Administrator</cp:lastModifiedBy>
  <cp:lastPrinted>2020-04-13T00:35:00Z</cp:lastPrinted>
  <dcterms:modified xsi:type="dcterms:W3CDTF">2020-05-27T01:34:16Z</dcterms:modified>
  <dc:title>论证稿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